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0FCC72" w14:textId="32AF7C36" w:rsidR="00E83B66" w:rsidRDefault="00332C35" w:rsidP="00E83B66">
      <w:pPr>
        <w:pStyle w:val="3GPPHeader"/>
        <w:spacing w:after="60"/>
      </w:pPr>
      <w:r w:rsidRPr="00332C35">
        <w:t>3GPP TSG-RAN WG2 #</w:t>
      </w:r>
      <w:r w:rsidR="00D65D7B">
        <w:t>120</w:t>
      </w:r>
      <w:r w:rsidR="00E83B66">
        <w:tab/>
      </w:r>
      <w:r w:rsidR="00D65D7B" w:rsidRPr="00D65D7B">
        <w:rPr>
          <w:rFonts w:cs="Arial"/>
          <w:color w:val="333333"/>
          <w:szCs w:val="18"/>
        </w:rPr>
        <w:t>R2-221236</w:t>
      </w:r>
      <w:r w:rsidR="004B2BF8">
        <w:rPr>
          <w:rFonts w:cs="Arial"/>
          <w:color w:val="333333"/>
          <w:szCs w:val="18"/>
        </w:rPr>
        <w:t>0</w:t>
      </w:r>
    </w:p>
    <w:p w14:paraId="4123216F" w14:textId="3853C2C9" w:rsidR="00E83B66" w:rsidRPr="00CE0424" w:rsidRDefault="00D65D7B" w:rsidP="00E83B66">
      <w:pPr>
        <w:pStyle w:val="3GPPHeader"/>
        <w:spacing w:after="60"/>
      </w:pPr>
      <w:r>
        <w:t>Toulouse</w:t>
      </w:r>
      <w:r w:rsidR="00455EC7">
        <w:t>, FR</w:t>
      </w:r>
      <w:r w:rsidR="00E83B66" w:rsidRPr="00D53AC8">
        <w:t xml:space="preserve">, </w:t>
      </w:r>
      <w:r w:rsidR="00455EC7">
        <w:t>November</w:t>
      </w:r>
      <w:r w:rsidR="00827B3B" w:rsidRPr="00827B3B">
        <w:t xml:space="preserve"> 1</w:t>
      </w:r>
      <w:r w:rsidR="00455EC7">
        <w:t>4</w:t>
      </w:r>
      <w:r w:rsidR="00827B3B" w:rsidRPr="00827B3B">
        <w:t>th – 1</w:t>
      </w:r>
      <w:r w:rsidR="00455EC7">
        <w:t>8</w:t>
      </w:r>
      <w:r w:rsidR="00827B3B" w:rsidRPr="00827B3B">
        <w:t>th, 2022</w:t>
      </w:r>
    </w:p>
    <w:p w14:paraId="7BC66800" w14:textId="77777777" w:rsidR="00E83B66" w:rsidRPr="00CE0424" w:rsidRDefault="00E83B66" w:rsidP="00E83B66">
      <w:pPr>
        <w:pStyle w:val="3GPPHeader"/>
      </w:pPr>
    </w:p>
    <w:p w14:paraId="2D422BC6" w14:textId="5831A2F5" w:rsidR="00E90E49" w:rsidRPr="002B16D2" w:rsidRDefault="00E90E49" w:rsidP="00311702">
      <w:pPr>
        <w:pStyle w:val="3GPPHeader"/>
        <w:rPr>
          <w:sz w:val="22"/>
          <w:szCs w:val="22"/>
          <w:lang w:val="en-US"/>
        </w:rPr>
      </w:pPr>
      <w:r w:rsidRPr="002B16D2">
        <w:rPr>
          <w:sz w:val="22"/>
          <w:szCs w:val="22"/>
          <w:lang w:val="en-US"/>
        </w:rPr>
        <w:t>Agenda Item:</w:t>
      </w:r>
      <w:r w:rsidRPr="002B16D2">
        <w:rPr>
          <w:sz w:val="22"/>
          <w:szCs w:val="22"/>
          <w:lang w:val="en-US"/>
        </w:rPr>
        <w:tab/>
      </w:r>
      <w:r w:rsidR="002374C3" w:rsidRPr="002B16D2">
        <w:rPr>
          <w:sz w:val="22"/>
          <w:szCs w:val="22"/>
          <w:lang w:val="en-US"/>
        </w:rPr>
        <w:t>8.</w:t>
      </w:r>
      <w:r w:rsidR="009E3F47">
        <w:rPr>
          <w:sz w:val="22"/>
          <w:szCs w:val="22"/>
          <w:lang w:val="en-US"/>
        </w:rPr>
        <w:t>2.4</w:t>
      </w:r>
    </w:p>
    <w:p w14:paraId="5E9605B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C6760C8" w14:textId="0D39BAE9" w:rsidR="00E90E49" w:rsidRPr="00CE0424" w:rsidRDefault="003D3C45" w:rsidP="007C260E">
      <w:pPr>
        <w:pStyle w:val="3GPPHeader"/>
        <w:ind w:left="1670" w:hanging="1670"/>
        <w:rPr>
          <w:sz w:val="22"/>
          <w:szCs w:val="22"/>
        </w:rPr>
      </w:pPr>
      <w:r>
        <w:rPr>
          <w:sz w:val="22"/>
          <w:szCs w:val="22"/>
        </w:rPr>
        <w:t>Title:</w:t>
      </w:r>
      <w:r w:rsidR="00E90E49" w:rsidRPr="00CE0424">
        <w:rPr>
          <w:sz w:val="22"/>
          <w:szCs w:val="22"/>
        </w:rPr>
        <w:tab/>
      </w:r>
      <w:r w:rsidR="00FF603F">
        <w:rPr>
          <w:sz w:val="22"/>
          <w:szCs w:val="22"/>
        </w:rPr>
        <w:t xml:space="preserve">UL SRS </w:t>
      </w:r>
      <w:r w:rsidR="00DC0969">
        <w:rPr>
          <w:sz w:val="22"/>
          <w:szCs w:val="22"/>
        </w:rPr>
        <w:t xml:space="preserve">Inactive mode complexities and Sequence ID Management </w:t>
      </w:r>
      <w:r w:rsidR="00EC71F5">
        <w:rPr>
          <w:sz w:val="22"/>
          <w:szCs w:val="22"/>
        </w:rPr>
        <w:t>and Simulations Recommendations</w:t>
      </w:r>
    </w:p>
    <w:p w14:paraId="64F89DD0"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374C3">
        <w:rPr>
          <w:sz w:val="22"/>
          <w:szCs w:val="22"/>
        </w:rPr>
        <w:t>Discussion, Decision</w:t>
      </w:r>
    </w:p>
    <w:p w14:paraId="30CB2781" w14:textId="77777777" w:rsidR="00E90E49" w:rsidRPr="00CE0424" w:rsidRDefault="00E90E49" w:rsidP="00E90E49"/>
    <w:p w14:paraId="7CB74BC3" w14:textId="77777777" w:rsidR="00E90E49" w:rsidRPr="00CE0424" w:rsidRDefault="00230D18" w:rsidP="00CE0424">
      <w:pPr>
        <w:pStyle w:val="Heading1"/>
      </w:pPr>
      <w:r>
        <w:t>1</w:t>
      </w:r>
      <w:r>
        <w:tab/>
      </w:r>
      <w:r w:rsidR="00E90E49" w:rsidRPr="00CE0424">
        <w:t>Introduction</w:t>
      </w:r>
    </w:p>
    <w:p w14:paraId="5929D2BF" w14:textId="10DE0440" w:rsidR="009141EE" w:rsidRDefault="00CA3819" w:rsidP="00CE0424">
      <w:pPr>
        <w:pStyle w:val="BodyText"/>
      </w:pPr>
      <w:r>
        <w:t xml:space="preserve">Inactive mode positioning </w:t>
      </w:r>
      <w:r w:rsidR="00E83B66">
        <w:t xml:space="preserve">was </w:t>
      </w:r>
      <w:r w:rsidR="009141EE">
        <w:t>specified in Rel-17. Rel-18 WID provides the below objective</w:t>
      </w:r>
    </w:p>
    <w:p w14:paraId="345AB2F2" w14:textId="77777777" w:rsidR="009141EE" w:rsidRDefault="009141EE" w:rsidP="00CE0424">
      <w:pPr>
        <w:pStyle w:val="BodyText"/>
      </w:pPr>
    </w:p>
    <w:p w14:paraId="58D4B7FB" w14:textId="77777777" w:rsidR="005B4DB2" w:rsidRDefault="005B4DB2" w:rsidP="005B4DB2">
      <w:pPr>
        <w:numPr>
          <w:ilvl w:val="1"/>
          <w:numId w:val="26"/>
        </w:numPr>
        <w:overflowPunct w:val="0"/>
        <w:autoSpaceDE w:val="0"/>
        <w:autoSpaceDN w:val="0"/>
        <w:adjustRightInd w:val="0"/>
        <w:textAlignment w:val="baseline"/>
        <w:rPr>
          <w:bCs/>
        </w:rPr>
      </w:pPr>
      <w:r w:rsidRPr="00F257A4">
        <w:rPr>
          <w:bCs/>
        </w:rPr>
        <w:t>Study the requirements on LPHAP as developed by SA1 and evaluate whether existing RAN functionality can support these power consumption and</w:t>
      </w:r>
      <w:r>
        <w:rPr>
          <w:bCs/>
        </w:rPr>
        <w:t xml:space="preserve"> </w:t>
      </w:r>
      <w:r w:rsidRPr="00564F91">
        <w:rPr>
          <w:bCs/>
        </w:rPr>
        <w:t xml:space="preserve">positioning requirements. Based on the evaluation, </w:t>
      </w:r>
      <w:r w:rsidRPr="000251D2">
        <w:rPr>
          <w:bCs/>
        </w:rPr>
        <w:t xml:space="preserve">and, if found beneficial, </w:t>
      </w:r>
      <w:r>
        <w:rPr>
          <w:bCs/>
        </w:rPr>
        <w:t>study</w:t>
      </w:r>
      <w:r w:rsidRPr="000251D2">
        <w:rPr>
          <w:bCs/>
        </w:rPr>
        <w:t xml:space="preserve"> </w:t>
      </w:r>
      <w:r w:rsidRPr="00564F91">
        <w:rPr>
          <w:bCs/>
        </w:rPr>
        <w:t>potential enhancements to help address any limitations [RAN2</w:t>
      </w:r>
      <w:r>
        <w:rPr>
          <w:bCs/>
        </w:rPr>
        <w:t>, RAN1</w:t>
      </w:r>
      <w:r w:rsidRPr="00564F91">
        <w:rPr>
          <w:bCs/>
        </w:rPr>
        <w:t>]</w:t>
      </w:r>
    </w:p>
    <w:p w14:paraId="73A30919" w14:textId="77777777" w:rsidR="005B4DB2" w:rsidRDefault="005B4DB2" w:rsidP="005B4DB2">
      <w:pPr>
        <w:numPr>
          <w:ilvl w:val="2"/>
          <w:numId w:val="26"/>
        </w:numPr>
        <w:overflowPunct w:val="0"/>
        <w:autoSpaceDE w:val="0"/>
        <w:autoSpaceDN w:val="0"/>
        <w:adjustRightInd w:val="0"/>
        <w:textAlignment w:val="baseline"/>
        <w:rPr>
          <w:bCs/>
        </w:rPr>
      </w:pPr>
      <w:r>
        <w:rPr>
          <w:bCs/>
        </w:rPr>
        <w:t>Study is</w:t>
      </w:r>
      <w:r w:rsidRPr="0057357B">
        <w:rPr>
          <w:bCs/>
        </w:rPr>
        <w:t xml:space="preserve"> limited to a single </w:t>
      </w:r>
      <w:r w:rsidRPr="00D45BAE">
        <w:rPr>
          <w:bCs/>
        </w:rPr>
        <w:t>representative</w:t>
      </w:r>
      <w:r w:rsidRPr="0057357B">
        <w:rPr>
          <w:bCs/>
        </w:rPr>
        <w:t xml:space="preserve"> use case (use case 6 as defined TS 22.10</w:t>
      </w:r>
      <w:r>
        <w:rPr>
          <w:bCs/>
        </w:rPr>
        <w:t>4). The choice of selected use case can be reviewed at the start of the study.</w:t>
      </w:r>
    </w:p>
    <w:p w14:paraId="50A0FA05" w14:textId="77777777" w:rsidR="005B4DB2" w:rsidRDefault="005B4DB2" w:rsidP="005B4DB2">
      <w:pPr>
        <w:numPr>
          <w:ilvl w:val="2"/>
          <w:numId w:val="26"/>
        </w:numPr>
        <w:overflowPunct w:val="0"/>
        <w:autoSpaceDE w:val="0"/>
        <w:autoSpaceDN w:val="0"/>
        <w:adjustRightInd w:val="0"/>
        <w:textAlignment w:val="baseline"/>
        <w:rPr>
          <w:bCs/>
        </w:rPr>
      </w:pPr>
      <w:r>
        <w:rPr>
          <w:bCs/>
        </w:rPr>
        <w:t>S</w:t>
      </w:r>
      <w:r w:rsidRPr="00D45BAE">
        <w:rPr>
          <w:bCs/>
        </w:rPr>
        <w:t xml:space="preserve">tudy is limited to enhancements </w:t>
      </w:r>
      <w:r>
        <w:rPr>
          <w:bCs/>
        </w:rPr>
        <w:t>to</w:t>
      </w:r>
      <w:r w:rsidRPr="00D45BAE">
        <w:rPr>
          <w:bCs/>
        </w:rPr>
        <w:t xml:space="preserve"> RRC_INACTIVE and/or RRC_IDLE state</w:t>
      </w:r>
    </w:p>
    <w:p w14:paraId="5C0221BA" w14:textId="77777777" w:rsidR="005B4DB2" w:rsidRDefault="005B4DB2" w:rsidP="00CE0424">
      <w:pPr>
        <w:pStyle w:val="BodyText"/>
        <w:rPr>
          <w:lang w:val="en-US"/>
        </w:rPr>
      </w:pPr>
    </w:p>
    <w:p w14:paraId="4D1B8B9E" w14:textId="77777777" w:rsidR="00851C78" w:rsidRPr="00D03859" w:rsidRDefault="00851C78" w:rsidP="00851C78">
      <w:pPr>
        <w:rPr>
          <w:lang w:val="en-GB" w:eastAsia="ja-JP"/>
        </w:rPr>
      </w:pPr>
      <w:r w:rsidRPr="0049536A">
        <w:rPr>
          <w:lang w:val="en-GB" w:eastAsia="ja-JP"/>
        </w:rPr>
        <w:t>In RAN2#119e, the following was agreed:</w:t>
      </w:r>
    </w:p>
    <w:p w14:paraId="34C7F9BA" w14:textId="77777777" w:rsidR="00851C78" w:rsidRDefault="00851C78" w:rsidP="00851C78">
      <w:pPr>
        <w:pStyle w:val="Doc-text2"/>
        <w:pBdr>
          <w:top w:val="single" w:sz="4" w:space="1" w:color="auto"/>
          <w:left w:val="single" w:sz="4" w:space="4" w:color="auto"/>
          <w:bottom w:val="single" w:sz="4" w:space="1" w:color="auto"/>
          <w:right w:val="single" w:sz="4" w:space="4" w:color="auto"/>
        </w:pBdr>
        <w:tabs>
          <w:tab w:val="clear" w:pos="1622"/>
        </w:tabs>
        <w:ind w:left="567" w:hanging="425"/>
      </w:pPr>
      <w:bookmarkStart w:id="0" w:name="_Hlk115120277"/>
      <w:r>
        <w:t>Agreements:</w:t>
      </w:r>
    </w:p>
    <w:p w14:paraId="76C4196D" w14:textId="77777777" w:rsidR="00851C78" w:rsidRDefault="00851C78" w:rsidP="00851C78">
      <w:pPr>
        <w:pStyle w:val="Doc-text2"/>
        <w:pBdr>
          <w:top w:val="single" w:sz="4" w:space="1" w:color="auto"/>
          <w:left w:val="single" w:sz="4" w:space="4" w:color="auto"/>
          <w:bottom w:val="single" w:sz="4" w:space="1" w:color="auto"/>
          <w:right w:val="single" w:sz="4" w:space="4" w:color="auto"/>
        </w:pBdr>
        <w:tabs>
          <w:tab w:val="clear" w:pos="1622"/>
        </w:tabs>
        <w:ind w:left="567" w:hanging="425"/>
      </w:pPr>
      <w:r>
        <w:t>Proposal 1: RAN2 shall restrict the use case for any LPHAP discussions in RAN2 to Tracking of workpiece (in- and outdoor) in assembly area and warehouse (Use case # 6 in Table A.7.2-1 in TS 22.104).</w:t>
      </w:r>
    </w:p>
    <w:p w14:paraId="5C106807" w14:textId="77777777" w:rsidR="00851C78" w:rsidRDefault="00851C78" w:rsidP="00851C78">
      <w:pPr>
        <w:pStyle w:val="Doc-text2"/>
        <w:pBdr>
          <w:top w:val="single" w:sz="4" w:space="1" w:color="auto"/>
          <w:left w:val="single" w:sz="4" w:space="4" w:color="auto"/>
          <w:bottom w:val="single" w:sz="4" w:space="1" w:color="auto"/>
          <w:right w:val="single" w:sz="4" w:space="4" w:color="auto"/>
        </w:pBdr>
        <w:tabs>
          <w:tab w:val="clear" w:pos="1622"/>
        </w:tabs>
        <w:ind w:left="567" w:hanging="425"/>
      </w:pPr>
      <w:r>
        <w:t>RAN2 to consider at least the ‘Low Power Periodic and Triggered 5GC-MT-LR Procedures’ in TS 23.273.  Other procedures are not excluded from discussion.</w:t>
      </w:r>
    </w:p>
    <w:p w14:paraId="7C73B113" w14:textId="77777777" w:rsidR="00851C78" w:rsidRDefault="00851C78" w:rsidP="00851C78">
      <w:pPr>
        <w:pStyle w:val="Doc-text2"/>
        <w:pBdr>
          <w:top w:val="single" w:sz="4" w:space="1" w:color="auto"/>
          <w:left w:val="single" w:sz="4" w:space="4" w:color="auto"/>
          <w:bottom w:val="single" w:sz="4" w:space="1" w:color="auto"/>
          <w:right w:val="single" w:sz="4" w:space="4" w:color="auto"/>
        </w:pBdr>
        <w:tabs>
          <w:tab w:val="clear" w:pos="1622"/>
        </w:tabs>
        <w:ind w:left="567" w:hanging="425"/>
      </w:pPr>
      <w:r>
        <w:t>RAN2 shall wait for RAN1 conclusions from evaluations on UE power consumption</w:t>
      </w:r>
      <w:r w:rsidRPr="008203E2">
        <w:t xml:space="preserve"> </w:t>
      </w:r>
      <w:r>
        <w:t>with respect to baseline functionality and whether enhancements are needed.  RAN2 will study potential areas for higher layer enhancements that may result in reduction of UE power consumption.</w:t>
      </w:r>
    </w:p>
    <w:bookmarkEnd w:id="0"/>
    <w:p w14:paraId="7D5D329D" w14:textId="77777777" w:rsidR="00851C78" w:rsidRDefault="00851C78" w:rsidP="00851C78">
      <w:pPr>
        <w:rPr>
          <w:lang w:val="x-none" w:eastAsia="ja-JP"/>
        </w:rPr>
      </w:pPr>
    </w:p>
    <w:p w14:paraId="7B6BB608" w14:textId="77777777" w:rsidR="00851C78" w:rsidRDefault="00851C78" w:rsidP="00851C78">
      <w:pPr>
        <w:rPr>
          <w:lang w:val="x-none" w:eastAsia="ja-JP"/>
        </w:rPr>
      </w:pPr>
    </w:p>
    <w:p w14:paraId="6E333AA1" w14:textId="77777777" w:rsidR="00851C78" w:rsidRPr="00D03859" w:rsidRDefault="00851C78" w:rsidP="00851C78">
      <w:pPr>
        <w:rPr>
          <w:lang w:val="en-GB" w:eastAsia="ja-JP"/>
        </w:rPr>
      </w:pPr>
      <w:r w:rsidRPr="0049536A">
        <w:rPr>
          <w:lang w:val="en-GB" w:eastAsia="ja-JP"/>
        </w:rPr>
        <w:t>In RAN2#119</w:t>
      </w:r>
      <w:r>
        <w:rPr>
          <w:lang w:val="en-GB" w:eastAsia="ja-JP"/>
        </w:rPr>
        <w:t>bis-</w:t>
      </w:r>
      <w:r w:rsidRPr="0049536A">
        <w:rPr>
          <w:lang w:val="en-GB" w:eastAsia="ja-JP"/>
        </w:rPr>
        <w:t>e, the following was agreed:</w:t>
      </w:r>
    </w:p>
    <w:p w14:paraId="64EF584E" w14:textId="77777777" w:rsidR="00851C78" w:rsidRDefault="00851C78" w:rsidP="00CE0424">
      <w:pPr>
        <w:pStyle w:val="BodyText"/>
      </w:pPr>
    </w:p>
    <w:p w14:paraId="41782135" w14:textId="77777777" w:rsidR="00275C52" w:rsidRDefault="00275C52" w:rsidP="00275C52">
      <w:pPr>
        <w:pStyle w:val="Doc-text2"/>
        <w:pBdr>
          <w:top w:val="single" w:sz="4" w:space="1" w:color="auto"/>
          <w:left w:val="single" w:sz="4" w:space="4" w:color="auto"/>
          <w:bottom w:val="single" w:sz="4" w:space="1" w:color="auto"/>
          <w:right w:val="single" w:sz="4" w:space="4" w:color="auto"/>
        </w:pBdr>
      </w:pPr>
      <w:r>
        <w:t>Agreement:</w:t>
      </w:r>
    </w:p>
    <w:p w14:paraId="71327258" w14:textId="77777777" w:rsidR="00275C52" w:rsidRDefault="00275C52" w:rsidP="00275C52">
      <w:pPr>
        <w:pStyle w:val="Doc-text2"/>
        <w:pBdr>
          <w:top w:val="single" w:sz="4" w:space="1" w:color="auto"/>
          <w:left w:val="single" w:sz="4" w:space="4" w:color="auto"/>
          <w:bottom w:val="single" w:sz="4" w:space="1" w:color="auto"/>
          <w:right w:val="single" w:sz="4" w:space="4" w:color="auto"/>
        </w:pBdr>
      </w:pPr>
    </w:p>
    <w:p w14:paraId="6EC2D31E" w14:textId="77777777" w:rsidR="00562A39" w:rsidRDefault="00562A39" w:rsidP="00562A39">
      <w:pPr>
        <w:pStyle w:val="Doc-text2"/>
        <w:pBdr>
          <w:top w:val="single" w:sz="4" w:space="1" w:color="auto"/>
          <w:left w:val="single" w:sz="4" w:space="4" w:color="auto"/>
          <w:bottom w:val="single" w:sz="4" w:space="1" w:color="auto"/>
          <w:right w:val="single" w:sz="4" w:space="4" w:color="auto"/>
        </w:pBdr>
      </w:pPr>
      <w:r>
        <w:t>RAN2 do not introduce a new device type for positioning only.</w:t>
      </w:r>
    </w:p>
    <w:p w14:paraId="7BA6856D" w14:textId="77777777" w:rsidR="008029B0" w:rsidRDefault="008029B0" w:rsidP="008029B0">
      <w:pPr>
        <w:pStyle w:val="Doc-text2"/>
        <w:pBdr>
          <w:top w:val="single" w:sz="4" w:space="1" w:color="auto"/>
          <w:left w:val="single" w:sz="4" w:space="4" w:color="auto"/>
          <w:bottom w:val="single" w:sz="4" w:space="1" w:color="auto"/>
          <w:right w:val="single" w:sz="4" w:space="4" w:color="auto"/>
        </w:pBdr>
      </w:pPr>
      <w:r>
        <w:t>Proposal 2: RAN2 agree that support of MT-SDT in Rel-18 positioning is treated as low priority in SI. (14/15)</w:t>
      </w:r>
    </w:p>
    <w:p w14:paraId="389EC000" w14:textId="6118398D" w:rsidR="00275C52" w:rsidRDefault="00275C52" w:rsidP="00275C52">
      <w:pPr>
        <w:pStyle w:val="Doc-text2"/>
        <w:pBdr>
          <w:top w:val="single" w:sz="4" w:space="1" w:color="auto"/>
          <w:left w:val="single" w:sz="4" w:space="4" w:color="auto"/>
          <w:bottom w:val="single" w:sz="4" w:space="1" w:color="auto"/>
          <w:right w:val="single" w:sz="4" w:space="4" w:color="auto"/>
        </w:pBdr>
      </w:pPr>
      <w:r>
        <w:t>Proposal 3 (modified): RAN2 agree to study enhancements on SRS configuration (12/15). Further study the following candidate enhancements on SRS configuration, including the possible interference and changes of spatial relations problems.</w:t>
      </w:r>
    </w:p>
    <w:p w14:paraId="3D38A05C" w14:textId="77777777" w:rsidR="00275C52" w:rsidRDefault="00275C52" w:rsidP="00275C52">
      <w:pPr>
        <w:pStyle w:val="Doc-text2"/>
        <w:pBdr>
          <w:top w:val="single" w:sz="4" w:space="1" w:color="auto"/>
          <w:left w:val="single" w:sz="4" w:space="4" w:color="auto"/>
          <w:bottom w:val="single" w:sz="4" w:space="1" w:color="auto"/>
          <w:right w:val="single" w:sz="4" w:space="4" w:color="auto"/>
        </w:pBdr>
      </w:pPr>
      <w:r>
        <w:t>-</w:t>
      </w:r>
      <w:r>
        <w:tab/>
        <w:t>a) Validity area mechanism; (12/13)</w:t>
      </w:r>
    </w:p>
    <w:p w14:paraId="406CB387" w14:textId="77777777" w:rsidR="00275C52" w:rsidRDefault="00275C52" w:rsidP="00275C52">
      <w:pPr>
        <w:pStyle w:val="Doc-text2"/>
        <w:pBdr>
          <w:top w:val="single" w:sz="4" w:space="1" w:color="auto"/>
          <w:left w:val="single" w:sz="4" w:space="4" w:color="auto"/>
          <w:bottom w:val="single" w:sz="4" w:space="1" w:color="auto"/>
          <w:right w:val="single" w:sz="4" w:space="4" w:color="auto"/>
        </w:pBdr>
      </w:pPr>
      <w:r>
        <w:t>-</w:t>
      </w:r>
      <w:r>
        <w:tab/>
        <w:t>b) SRS update mechanism; (10/13)</w:t>
      </w:r>
    </w:p>
    <w:p w14:paraId="25300E2C" w14:textId="77777777" w:rsidR="00275C52" w:rsidRDefault="00275C52" w:rsidP="00275C52">
      <w:pPr>
        <w:pStyle w:val="Doc-text2"/>
        <w:pBdr>
          <w:top w:val="single" w:sz="4" w:space="1" w:color="auto"/>
          <w:left w:val="single" w:sz="4" w:space="4" w:color="auto"/>
          <w:bottom w:val="single" w:sz="4" w:space="1" w:color="auto"/>
          <w:right w:val="single" w:sz="4" w:space="4" w:color="auto"/>
        </w:pBdr>
      </w:pPr>
      <w:r>
        <w:t>-</w:t>
      </w:r>
      <w:r>
        <w:tab/>
        <w:t>c) Pre-configure multiple SRS, which could include broadcast transmission of configurations with UE-specific determination along with the network of a configuration; (9/13)</w:t>
      </w:r>
    </w:p>
    <w:p w14:paraId="3F9C7671" w14:textId="77777777" w:rsidR="00275C52" w:rsidRDefault="00275C52" w:rsidP="00275C52">
      <w:pPr>
        <w:pStyle w:val="Doc-text2"/>
        <w:pBdr>
          <w:top w:val="single" w:sz="4" w:space="1" w:color="auto"/>
          <w:left w:val="single" w:sz="4" w:space="4" w:color="auto"/>
          <w:bottom w:val="single" w:sz="4" w:space="1" w:color="auto"/>
          <w:right w:val="single" w:sz="4" w:space="4" w:color="auto"/>
        </w:pBdr>
      </w:pPr>
      <w:r>
        <w:t>FFS if item c would require network nodes to measure multiple SRS configurations for the same UE simultaneously.</w:t>
      </w:r>
    </w:p>
    <w:p w14:paraId="70789953" w14:textId="77777777" w:rsidR="00275C52" w:rsidRDefault="00275C52" w:rsidP="00275C52">
      <w:pPr>
        <w:pStyle w:val="Doc-text2"/>
        <w:pBdr>
          <w:top w:val="single" w:sz="4" w:space="1" w:color="auto"/>
          <w:left w:val="single" w:sz="4" w:space="4" w:color="auto"/>
          <w:bottom w:val="single" w:sz="4" w:space="1" w:color="auto"/>
          <w:right w:val="single" w:sz="4" w:space="4" w:color="auto"/>
        </w:pBdr>
      </w:pPr>
      <w:r>
        <w:t>LS to RAN1 to ask them about interference issues with SRS configurations across multiple cells and about the validity of SRS parameters.</w:t>
      </w:r>
    </w:p>
    <w:p w14:paraId="589AB0A9" w14:textId="77777777" w:rsidR="00275C52" w:rsidRPr="00275C52" w:rsidRDefault="00275C52" w:rsidP="00CE0424">
      <w:pPr>
        <w:pStyle w:val="BodyText"/>
        <w:rPr>
          <w:lang w:val="x-none"/>
        </w:rPr>
      </w:pPr>
    </w:p>
    <w:p w14:paraId="2D6A42D8" w14:textId="77777777" w:rsidR="005869A7" w:rsidRPr="00CE0424" w:rsidRDefault="005869A7" w:rsidP="005869A7">
      <w:pPr>
        <w:pStyle w:val="BodyText"/>
        <w:ind w:left="720"/>
      </w:pPr>
    </w:p>
    <w:p w14:paraId="01C165DD" w14:textId="7EC86134" w:rsidR="00D03859" w:rsidRDefault="00230D18" w:rsidP="00D03859">
      <w:pPr>
        <w:pStyle w:val="Heading1"/>
      </w:pPr>
      <w:bookmarkStart w:id="1" w:name="_Ref178064866"/>
      <w:r>
        <w:t>2</w:t>
      </w:r>
      <w:r>
        <w:tab/>
      </w:r>
      <w:r w:rsidR="004000E8" w:rsidRPr="00CE0424">
        <w:t>Discussion</w:t>
      </w:r>
      <w:bookmarkEnd w:id="1"/>
    </w:p>
    <w:p w14:paraId="6A316265" w14:textId="12A9021A" w:rsidR="00244A2B" w:rsidRDefault="004B0A4D" w:rsidP="004B0A4D">
      <w:r>
        <w:t xml:space="preserve">In this paper we discuss that </w:t>
      </w:r>
      <w:r w:rsidR="00E503D4">
        <w:t>to</w:t>
      </w:r>
      <w:r>
        <w:t xml:space="preserve"> </w:t>
      </w:r>
      <w:r w:rsidR="00722CFE">
        <w:t xml:space="preserve">ensure UL-SRS based positioning method works in a decent way, several optimizations </w:t>
      </w:r>
      <w:r w:rsidR="00E503D4">
        <w:t>must</w:t>
      </w:r>
      <w:r w:rsidR="00722CFE">
        <w:t xml:space="preserve"> be performed and there can be </w:t>
      </w:r>
      <w:r w:rsidR="00E503D4">
        <w:t xml:space="preserve">NW </w:t>
      </w:r>
      <w:r w:rsidR="00A07C5A">
        <w:t xml:space="preserve">complexities especially in terms of </w:t>
      </w:r>
      <w:r w:rsidR="007E586D">
        <w:t>how reception points are configured</w:t>
      </w:r>
      <w:r w:rsidR="00E503D4">
        <w:t>.</w:t>
      </w:r>
    </w:p>
    <w:p w14:paraId="0623E2A7" w14:textId="2492A6F3" w:rsidR="00521F9B" w:rsidRDefault="00244A2B" w:rsidP="00521F9B">
      <w:pPr>
        <w:pStyle w:val="Heading2"/>
        <w:rPr>
          <w:lang w:val="en-US"/>
        </w:rPr>
      </w:pPr>
      <w:r w:rsidRPr="00244A2B">
        <w:rPr>
          <w:lang w:val="en-US"/>
        </w:rPr>
        <w:t>2.1</w:t>
      </w:r>
      <w:r w:rsidRPr="00244A2B">
        <w:rPr>
          <w:lang w:val="en-US"/>
        </w:rPr>
        <w:tab/>
      </w:r>
      <w:r w:rsidR="00521F9B">
        <w:rPr>
          <w:lang w:val="en-US"/>
        </w:rPr>
        <w:t>Complexities</w:t>
      </w:r>
      <w:r w:rsidR="00E503D4">
        <w:rPr>
          <w:lang w:val="en-US"/>
        </w:rPr>
        <w:t>:</w:t>
      </w:r>
      <w:r w:rsidR="00521F9B">
        <w:rPr>
          <w:lang w:val="en-US"/>
        </w:rPr>
        <w:t xml:space="preserve"> </w:t>
      </w:r>
      <w:r w:rsidR="00521F9B" w:rsidRPr="00244A2B">
        <w:rPr>
          <w:lang w:val="en-US"/>
        </w:rPr>
        <w:t>Multi-Cell UL-SRS Interference</w:t>
      </w:r>
      <w:r w:rsidR="00521F9B">
        <w:rPr>
          <w:lang w:val="en-US"/>
        </w:rPr>
        <w:t>,</w:t>
      </w:r>
      <w:r w:rsidR="00521F9B" w:rsidRPr="00244A2B">
        <w:rPr>
          <w:lang w:val="en-US"/>
        </w:rPr>
        <w:t xml:space="preserve"> Capacity Loss</w:t>
      </w:r>
      <w:r w:rsidR="00521F9B">
        <w:rPr>
          <w:lang w:val="en-US"/>
        </w:rPr>
        <w:t xml:space="preserve"> &amp; TA</w:t>
      </w:r>
      <w:r w:rsidR="00E503D4">
        <w:rPr>
          <w:lang w:val="en-US"/>
        </w:rPr>
        <w:t>, Reception Point Coordination</w:t>
      </w:r>
    </w:p>
    <w:p w14:paraId="29BAD98A" w14:textId="77777777" w:rsidR="00521F9B" w:rsidRDefault="00521F9B" w:rsidP="00521F9B">
      <w:pPr>
        <w:rPr>
          <w:lang w:eastAsia="ja-JP"/>
        </w:rPr>
      </w:pPr>
    </w:p>
    <w:p w14:paraId="382E6427" w14:textId="17A4DA07" w:rsidR="009203F6" w:rsidRDefault="00521F9B" w:rsidP="00521F9B">
      <w:pPr>
        <w:rPr>
          <w:lang w:eastAsia="ja-JP"/>
        </w:rPr>
      </w:pPr>
      <w:r>
        <w:rPr>
          <w:lang w:eastAsia="ja-JP"/>
        </w:rPr>
        <w:t>If UE roams in multiple cells transmitting UL-SRS, it is bound to cause interference in other cells</w:t>
      </w:r>
      <w:r w:rsidR="00425A72">
        <w:rPr>
          <w:lang w:eastAsia="ja-JP"/>
        </w:rPr>
        <w:t xml:space="preserve"> as shown below the </w:t>
      </w:r>
      <w:r w:rsidR="008B5553">
        <w:rPr>
          <w:lang w:eastAsia="ja-JP"/>
        </w:rPr>
        <w:t>increase in interference (</w:t>
      </w:r>
      <w:r w:rsidR="007E4FD8">
        <w:rPr>
          <w:lang w:eastAsia="ja-JP"/>
        </w:rPr>
        <w:t xml:space="preserve">lower </w:t>
      </w:r>
      <w:r w:rsidR="008B5553">
        <w:rPr>
          <w:lang w:eastAsia="ja-JP"/>
        </w:rPr>
        <w:t>SINR</w:t>
      </w:r>
      <w:r w:rsidR="007E4FD8">
        <w:rPr>
          <w:lang w:eastAsia="ja-JP"/>
        </w:rPr>
        <w:t>; Figure 2</w:t>
      </w:r>
      <w:r w:rsidR="008B5553">
        <w:rPr>
          <w:lang w:eastAsia="ja-JP"/>
        </w:rPr>
        <w:t>)</w:t>
      </w:r>
      <w:r>
        <w:rPr>
          <w:lang w:eastAsia="ja-JP"/>
        </w:rPr>
        <w:t>.</w:t>
      </w:r>
    </w:p>
    <w:p w14:paraId="30F9FB96" w14:textId="77777777" w:rsidR="009203F6" w:rsidRDefault="009203F6" w:rsidP="00521F9B">
      <w:pPr>
        <w:rPr>
          <w:lang w:eastAsia="ja-JP"/>
        </w:rPr>
      </w:pPr>
    </w:p>
    <w:p w14:paraId="7D1EA3FF" w14:textId="79054B64" w:rsidR="009203F6" w:rsidRDefault="007E4FD8" w:rsidP="00521F9B">
      <w:pPr>
        <w:rPr>
          <w:lang w:eastAsia="ja-JP"/>
        </w:rPr>
      </w:pPr>
      <w:r>
        <w:rPr>
          <w:noProof/>
        </w:rPr>
        <w:drawing>
          <wp:inline distT="0" distB="0" distL="0" distR="0" wp14:anchorId="5B2A37EF" wp14:editId="5A5A9E50">
            <wp:extent cx="6120765" cy="2834005"/>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2834005"/>
                    </a:xfrm>
                    <a:prstGeom prst="rect">
                      <a:avLst/>
                    </a:prstGeom>
                  </pic:spPr>
                </pic:pic>
              </a:graphicData>
            </a:graphic>
          </wp:inline>
        </w:drawing>
      </w:r>
    </w:p>
    <w:p w14:paraId="0D760250" w14:textId="77777777" w:rsidR="009203F6" w:rsidRDefault="009203F6" w:rsidP="00521F9B">
      <w:pPr>
        <w:rPr>
          <w:lang w:eastAsia="ja-JP"/>
        </w:rPr>
      </w:pPr>
    </w:p>
    <w:p w14:paraId="33E3488E" w14:textId="1E6FC023" w:rsidR="00F37536" w:rsidRDefault="007E4FD8" w:rsidP="00521F9B">
      <w:pPr>
        <w:rPr>
          <w:lang w:eastAsia="ja-JP"/>
        </w:rPr>
      </w:pPr>
      <w:r>
        <w:rPr>
          <w:lang w:eastAsia="ja-JP"/>
        </w:rPr>
        <w:t>Figure 1: With Interference OFF</w:t>
      </w:r>
    </w:p>
    <w:p w14:paraId="44F6FAF5" w14:textId="7F87CC2D" w:rsidR="00F37536" w:rsidRDefault="004655EF" w:rsidP="00521F9B">
      <w:pPr>
        <w:rPr>
          <w:lang w:eastAsia="ja-JP"/>
        </w:rPr>
      </w:pPr>
      <w:r>
        <w:rPr>
          <w:noProof/>
        </w:rPr>
        <w:drawing>
          <wp:inline distT="0" distB="0" distL="0" distR="0" wp14:anchorId="17B0E14C" wp14:editId="229DC0D3">
            <wp:extent cx="6120765" cy="27114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2711450"/>
                    </a:xfrm>
                    <a:prstGeom prst="rect">
                      <a:avLst/>
                    </a:prstGeom>
                  </pic:spPr>
                </pic:pic>
              </a:graphicData>
            </a:graphic>
          </wp:inline>
        </w:drawing>
      </w:r>
    </w:p>
    <w:p w14:paraId="58B4B987" w14:textId="77777777" w:rsidR="00F37536" w:rsidRDefault="00F37536" w:rsidP="00521F9B">
      <w:pPr>
        <w:rPr>
          <w:lang w:eastAsia="ja-JP"/>
        </w:rPr>
      </w:pPr>
    </w:p>
    <w:p w14:paraId="15AF1114" w14:textId="5B7F50BF" w:rsidR="007E4FD8" w:rsidRDefault="007E4FD8" w:rsidP="00521F9B">
      <w:pPr>
        <w:rPr>
          <w:lang w:eastAsia="ja-JP"/>
        </w:rPr>
      </w:pPr>
      <w:r>
        <w:rPr>
          <w:lang w:eastAsia="ja-JP"/>
        </w:rPr>
        <w:t>Figure 2: With Interference ON</w:t>
      </w:r>
      <w:r w:rsidR="00146518">
        <w:rPr>
          <w:lang w:eastAsia="ja-JP"/>
        </w:rPr>
        <w:t>: SINR degrades, positioning accuracy degrades</w:t>
      </w:r>
    </w:p>
    <w:p w14:paraId="720F7072" w14:textId="77777777" w:rsidR="00004D50" w:rsidRPr="00004D50" w:rsidRDefault="00491E34" w:rsidP="00491E34">
      <w:pPr>
        <w:numPr>
          <w:ilvl w:val="0"/>
          <w:numId w:val="30"/>
        </w:numPr>
        <w:rPr>
          <w:lang w:eastAsia="ja-JP"/>
        </w:rPr>
      </w:pPr>
      <w:r>
        <w:rPr>
          <w:lang w:eastAsia="ja-JP"/>
        </w:rPr>
        <w:t xml:space="preserve">Simulation model </w:t>
      </w:r>
      <w:r w:rsidR="00004D50" w:rsidRPr="00004D50">
        <w:rPr>
          <w:lang w:eastAsia="ja-JP"/>
        </w:rPr>
        <w:t>Indoor factory, 'TR38901_5G_INF_SH’, 50 m ISD, 18 TRP</w:t>
      </w:r>
    </w:p>
    <w:p w14:paraId="4E74CDFE" w14:textId="77777777" w:rsidR="00491E34" w:rsidRPr="00491E34" w:rsidRDefault="00491E34" w:rsidP="00521F9B">
      <w:pPr>
        <w:rPr>
          <w:lang w:eastAsia="ja-JP"/>
        </w:rPr>
      </w:pPr>
    </w:p>
    <w:p w14:paraId="408CF8C6" w14:textId="77777777" w:rsidR="007E4FD8" w:rsidRDefault="007E4FD8" w:rsidP="00521F9B">
      <w:pPr>
        <w:rPr>
          <w:lang w:eastAsia="ja-JP"/>
        </w:rPr>
      </w:pPr>
    </w:p>
    <w:p w14:paraId="003857CE" w14:textId="520659ED" w:rsidR="00521F9B" w:rsidRDefault="00521F9B" w:rsidP="00521F9B">
      <w:pPr>
        <w:rPr>
          <w:lang w:eastAsia="ja-JP"/>
        </w:rPr>
      </w:pPr>
      <w:r>
        <w:rPr>
          <w:lang w:eastAsia="ja-JP"/>
        </w:rPr>
        <w:t>If in serving cell; resources were configured in PRB1 it would imply in other cells the UE UL-SRS transmission will interfere to other UE which also uses PRB1. To avoid this, it has been mentioned to reserve resource or to have pool of UL-SRS resources. However, this would lead to capacity loss. Implicitly for above example, PRB1 in other cells would not be used or would be blocked.</w:t>
      </w:r>
    </w:p>
    <w:p w14:paraId="0C8D370E" w14:textId="77777777" w:rsidR="00521F9B" w:rsidRDefault="00521F9B" w:rsidP="00521F9B">
      <w:pPr>
        <w:rPr>
          <w:lang w:eastAsia="ja-JP"/>
        </w:rPr>
      </w:pPr>
    </w:p>
    <w:p w14:paraId="2085D6ED" w14:textId="6BA5E02C" w:rsidR="00521F9B" w:rsidRPr="00CE0424" w:rsidRDefault="00990076" w:rsidP="00521F9B">
      <w:pPr>
        <w:pStyle w:val="Observation"/>
      </w:pPr>
      <w:bookmarkStart w:id="2" w:name="_Toc118446632"/>
      <w:r>
        <w:t xml:space="preserve">To minimize Interference, </w:t>
      </w:r>
      <w:r w:rsidR="00521F9B">
        <w:t>UL-SRS Resource pool</w:t>
      </w:r>
      <w:r>
        <w:t xml:space="preserve"> have to </w:t>
      </w:r>
      <w:r w:rsidR="00815A83">
        <w:t xml:space="preserve">be </w:t>
      </w:r>
      <w:r>
        <w:t>maintained and this</w:t>
      </w:r>
      <w:r w:rsidR="00521F9B">
        <w:t xml:space="preserve"> would </w:t>
      </w:r>
      <w:r>
        <w:t xml:space="preserve">  </w:t>
      </w:r>
      <w:r w:rsidR="00521F9B">
        <w:t>lead to capacity loss.</w:t>
      </w:r>
      <w:bookmarkEnd w:id="2"/>
    </w:p>
    <w:p w14:paraId="499304D9" w14:textId="77777777" w:rsidR="00521F9B" w:rsidRDefault="00521F9B" w:rsidP="00521F9B">
      <w:pPr>
        <w:rPr>
          <w:lang w:val="en-GB" w:eastAsia="ja-JP"/>
        </w:rPr>
      </w:pPr>
    </w:p>
    <w:p w14:paraId="282DE3B8" w14:textId="77777777" w:rsidR="00521F9B" w:rsidRDefault="00521F9B" w:rsidP="00521F9B">
      <w:pPr>
        <w:rPr>
          <w:lang w:val="en-GB" w:eastAsia="ja-JP"/>
        </w:rPr>
      </w:pPr>
      <w:r>
        <w:rPr>
          <w:lang w:val="en-GB" w:eastAsia="ja-JP"/>
        </w:rPr>
        <w:t>Another source of interference would be the sequence ID. UL-SRS signals are generated using sequence ID and cell-ID. If UE is allowed to transmit UL-SRS while roaming in multiple cells; this would imply the UL-SRS resource pool should also reserve the sequence ID.</w:t>
      </w:r>
    </w:p>
    <w:p w14:paraId="0385D4C7" w14:textId="77777777" w:rsidR="00521F9B" w:rsidRDefault="00521F9B" w:rsidP="00521F9B">
      <w:pPr>
        <w:rPr>
          <w:lang w:val="en-GB" w:eastAsia="ja-JP"/>
        </w:rPr>
      </w:pPr>
    </w:p>
    <w:p w14:paraId="40407BFB" w14:textId="77777777" w:rsidR="00521F9B" w:rsidRPr="00CE0424" w:rsidRDefault="00521F9B" w:rsidP="00521F9B">
      <w:pPr>
        <w:pStyle w:val="Observation"/>
      </w:pPr>
      <w:bookmarkStart w:id="3" w:name="_Toc118446633"/>
      <w:r>
        <w:t>UL-SRS Resource pool would not only require reserving time/frequency resource but also other resource such as sequence ID.</w:t>
      </w:r>
      <w:bookmarkEnd w:id="3"/>
    </w:p>
    <w:p w14:paraId="04E1340A" w14:textId="77777777" w:rsidR="00521F9B" w:rsidRDefault="00521F9B" w:rsidP="00521F9B">
      <w:pPr>
        <w:rPr>
          <w:lang w:val="en-GB" w:eastAsia="ja-JP"/>
        </w:rPr>
      </w:pPr>
    </w:p>
    <w:p w14:paraId="4E960DAB" w14:textId="7C57E8AE" w:rsidR="00521F9B" w:rsidRDefault="00521F9B" w:rsidP="00521F9B">
      <w:pPr>
        <w:rPr>
          <w:lang w:eastAsia="ja-JP"/>
        </w:rPr>
      </w:pPr>
      <w:r w:rsidRPr="032C1854">
        <w:rPr>
          <w:lang w:eastAsia="ja-JP"/>
        </w:rPr>
        <w:t>It has been suggested that UE will receive TA update based upon RACH procedure. If UE RSRP fluctuates by certain margin or TA timer expires; UE will have to perform RACH procedure and obtain TA. However, TA obtained from RACH procedure (Preamble) is not accurate as compared to UL-SRS based TA. A UE which is unsynchronized and transmit with an offset would cause interference to other UEs and at the same time the RTOA measurements performed by base station would have timing errors as UE’s UL-SRS Tx timing may not be aligned. The objective of the study item however is high accuracy.</w:t>
      </w:r>
      <w:r w:rsidR="00930A8C">
        <w:rPr>
          <w:lang w:eastAsia="ja-JP"/>
        </w:rPr>
        <w:t xml:space="preserve"> As seen below using wrong TA leads to accuracy degradation.</w:t>
      </w:r>
    </w:p>
    <w:p w14:paraId="5BA77DCB" w14:textId="77777777" w:rsidR="00930A8C" w:rsidRDefault="00930A8C" w:rsidP="00521F9B">
      <w:pPr>
        <w:rPr>
          <w:lang w:eastAsia="ja-JP"/>
        </w:rPr>
      </w:pPr>
    </w:p>
    <w:p w14:paraId="4B1F3168" w14:textId="37046496" w:rsidR="00930A8C" w:rsidRDefault="00B23CFC" w:rsidP="00521F9B">
      <w:pPr>
        <w:rPr>
          <w:lang w:eastAsia="ja-JP"/>
        </w:rPr>
      </w:pPr>
      <w:r>
        <w:rPr>
          <w:noProof/>
          <w:lang w:eastAsia="ja-JP"/>
        </w:rPr>
        <w:drawing>
          <wp:inline distT="0" distB="0" distL="0" distR="0" wp14:anchorId="6A27474B" wp14:editId="559D7873">
            <wp:extent cx="4614074" cy="243438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29352" cy="2442444"/>
                    </a:xfrm>
                    <a:prstGeom prst="rect">
                      <a:avLst/>
                    </a:prstGeom>
                    <a:noFill/>
                  </pic:spPr>
                </pic:pic>
              </a:graphicData>
            </a:graphic>
          </wp:inline>
        </w:drawing>
      </w:r>
    </w:p>
    <w:p w14:paraId="414BF9BB" w14:textId="77777777" w:rsidR="00004D50" w:rsidRPr="00004D50" w:rsidRDefault="00004D50" w:rsidP="00521F9B">
      <w:pPr>
        <w:rPr>
          <w:lang w:eastAsia="ja-JP"/>
        </w:rPr>
      </w:pPr>
    </w:p>
    <w:p w14:paraId="4DDAC994" w14:textId="77777777" w:rsidR="0027244A" w:rsidRDefault="0027244A" w:rsidP="00521F9B">
      <w:pPr>
        <w:rPr>
          <w:lang w:eastAsia="ja-JP"/>
        </w:rPr>
      </w:pPr>
    </w:p>
    <w:p w14:paraId="775F0EF6" w14:textId="77777777" w:rsidR="0027244A" w:rsidRPr="004F50CD" w:rsidRDefault="0027244A" w:rsidP="0027244A">
      <w:pPr>
        <w:rPr>
          <w:lang w:eastAsia="ja-JP"/>
        </w:rPr>
      </w:pPr>
    </w:p>
    <w:p w14:paraId="14CDDC58" w14:textId="1388484E" w:rsidR="0027244A" w:rsidRPr="00CE0424" w:rsidRDefault="00A13C10" w:rsidP="0027244A">
      <w:pPr>
        <w:pStyle w:val="Observation"/>
      </w:pPr>
      <w:bookmarkStart w:id="4" w:name="_Toc118446634"/>
      <w:r>
        <w:t xml:space="preserve">Wrong TA leads to accuracy degradation. </w:t>
      </w:r>
      <w:r w:rsidR="0027244A">
        <w:t>Preamble based TA update would lead to large positioning error. The objective however is High Accuracy.</w:t>
      </w:r>
      <w:bookmarkEnd w:id="4"/>
    </w:p>
    <w:p w14:paraId="47BB4BFD" w14:textId="77777777" w:rsidR="0027244A" w:rsidRPr="0027244A" w:rsidRDefault="0027244A" w:rsidP="00521F9B">
      <w:pPr>
        <w:rPr>
          <w:lang w:val="en-GB" w:eastAsia="ja-JP"/>
        </w:rPr>
      </w:pPr>
    </w:p>
    <w:p w14:paraId="36F57199" w14:textId="77777777" w:rsidR="009406E6" w:rsidRDefault="009406E6" w:rsidP="009406E6">
      <w:pPr>
        <w:pStyle w:val="Proposal"/>
        <w:numPr>
          <w:ilvl w:val="0"/>
          <w:numId w:val="0"/>
        </w:numPr>
        <w:ind w:left="1701"/>
      </w:pPr>
    </w:p>
    <w:p w14:paraId="0113C597" w14:textId="77777777" w:rsidR="009406E6" w:rsidRPr="002D3CE1" w:rsidRDefault="009406E6" w:rsidP="009406E6">
      <w:pPr>
        <w:rPr>
          <w:lang w:eastAsia="ja-JP"/>
        </w:rPr>
      </w:pPr>
      <w:r>
        <w:rPr>
          <w:lang w:val="en-GB" w:eastAsia="ja-JP"/>
        </w:rPr>
        <w:t>Further, there will be problem in terms of configuring the TRPs</w:t>
      </w:r>
      <w:r>
        <w:rPr>
          <w:lang w:eastAsia="ja-JP"/>
        </w:rPr>
        <w:t xml:space="preserve"> for the multi-SRS validity area</w:t>
      </w:r>
      <w:r>
        <w:rPr>
          <w:lang w:val="en-GB" w:eastAsia="ja-JP"/>
        </w:rPr>
        <w:t>;</w:t>
      </w:r>
      <w:r>
        <w:rPr>
          <w:lang w:eastAsia="ja-JP"/>
        </w:rPr>
        <w:t xml:space="preserve"> several RAN nodes will be</w:t>
      </w:r>
      <w:r>
        <w:rPr>
          <w:lang w:val="en-GB" w:eastAsia="ja-JP"/>
        </w:rPr>
        <w:t xml:space="preserve"> listening </w:t>
      </w:r>
      <w:r>
        <w:rPr>
          <w:lang w:eastAsia="ja-JP"/>
        </w:rPr>
        <w:t xml:space="preserve">to UE UL SRS </w:t>
      </w:r>
      <w:r>
        <w:rPr>
          <w:lang w:val="en-GB" w:eastAsia="ja-JP"/>
        </w:rPr>
        <w:t xml:space="preserve">when UE moves in multiple cells with UL-SRS Tx. </w:t>
      </w:r>
      <w:r>
        <w:rPr>
          <w:lang w:eastAsia="ja-JP"/>
        </w:rPr>
        <w:t xml:space="preserve">This calls for overprovisioning of TRPs and consumption of network resources. </w:t>
      </w:r>
      <w:r>
        <w:rPr>
          <w:lang w:val="en-GB" w:eastAsia="ja-JP"/>
        </w:rPr>
        <w:t>S</w:t>
      </w:r>
      <w:r>
        <w:rPr>
          <w:lang w:eastAsia="ja-JP"/>
        </w:rPr>
        <w:t>ince NW does not know where UE will pop up</w:t>
      </w:r>
      <w:r>
        <w:rPr>
          <w:lang w:val="en-GB" w:eastAsia="ja-JP"/>
        </w:rPr>
        <w:t>, th</w:t>
      </w:r>
      <w:r>
        <w:rPr>
          <w:lang w:eastAsia="ja-JP"/>
        </w:rPr>
        <w:t>is</w:t>
      </w:r>
      <w:r>
        <w:rPr>
          <w:lang w:val="en-GB" w:eastAsia="ja-JP"/>
        </w:rPr>
        <w:t xml:space="preserve"> will </w:t>
      </w:r>
      <w:r>
        <w:rPr>
          <w:lang w:eastAsia="ja-JP"/>
        </w:rPr>
        <w:t>lead to extra processing and signalling cost that will impact several RAN3 interfaces: XnAP, NRPPA and F1AP</w:t>
      </w:r>
    </w:p>
    <w:p w14:paraId="6E8FDE83" w14:textId="77777777" w:rsidR="009406E6" w:rsidRPr="00675148" w:rsidRDefault="009406E6" w:rsidP="009406E6">
      <w:pPr>
        <w:rPr>
          <w:lang w:val="en-GB" w:eastAsia="ja-JP"/>
        </w:rPr>
      </w:pPr>
    </w:p>
    <w:p w14:paraId="20582B53" w14:textId="77777777" w:rsidR="009406E6" w:rsidRDefault="009406E6" w:rsidP="009406E6">
      <w:pPr>
        <w:jc w:val="both"/>
        <w:rPr>
          <w:lang w:val="en-GB" w:eastAsia="ja-JP"/>
        </w:rPr>
      </w:pPr>
    </w:p>
    <w:p w14:paraId="7182C52C" w14:textId="77777777" w:rsidR="009406E6" w:rsidRPr="00CE0424" w:rsidRDefault="009406E6" w:rsidP="009406E6">
      <w:pPr>
        <w:pStyle w:val="Observation"/>
      </w:pPr>
      <w:bookmarkStart w:id="5" w:name="_Toc118446635"/>
      <w:r>
        <w:t>As UE may pop up anywhere in the configured multiple cell area with UL-SRS Tx, it is not possible to know in which gNBs/TRPs the UE would finally resume in within the configured multiple UL SRS Tx area. Hence, over-provisioning of TRPs may have to be done where some of the TRPs must keep on listening even when nothing is heard.</w:t>
      </w:r>
      <w:r w:rsidRPr="000E275A">
        <w:t xml:space="preserve"> </w:t>
      </w:r>
      <w:r>
        <w:t>This leads to extra processing and signalling costs.</w:t>
      </w:r>
      <w:bookmarkEnd w:id="5"/>
    </w:p>
    <w:p w14:paraId="3DFD9329" w14:textId="77777777" w:rsidR="00984AE5" w:rsidRPr="00891705" w:rsidRDefault="00984AE5" w:rsidP="00984AE5">
      <w:pPr>
        <w:rPr>
          <w:lang w:val="en-GB" w:eastAsia="ja-JP"/>
        </w:rPr>
      </w:pPr>
    </w:p>
    <w:p w14:paraId="4403697B" w14:textId="77777777" w:rsidR="00984AE5" w:rsidRDefault="00984AE5" w:rsidP="00984AE5">
      <w:pPr>
        <w:pStyle w:val="Proposal"/>
      </w:pPr>
      <w:bookmarkStart w:id="6" w:name="_Toc118446618"/>
      <w:r>
        <w:t>Capture in TR.</w:t>
      </w:r>
      <w:bookmarkEnd w:id="6"/>
    </w:p>
    <w:p w14:paraId="51F26880" w14:textId="5AA0F0F6" w:rsidR="00984AE5" w:rsidRDefault="00F74A07" w:rsidP="00984AE5">
      <w:pPr>
        <w:pStyle w:val="Proposal"/>
        <w:numPr>
          <w:ilvl w:val="0"/>
          <w:numId w:val="29"/>
        </w:numPr>
      </w:pPr>
      <w:bookmarkStart w:id="7" w:name="_Toc118446619"/>
      <w:r>
        <w:t xml:space="preserve">To minimize Interference, </w:t>
      </w:r>
      <w:r w:rsidR="00984AE5">
        <w:t>UL-SRS Resource pool would</w:t>
      </w:r>
      <w:r>
        <w:t xml:space="preserve"> have to be maintained and this</w:t>
      </w:r>
      <w:r w:rsidR="00984AE5">
        <w:t xml:space="preserve"> lead</w:t>
      </w:r>
      <w:r>
        <w:t>s</w:t>
      </w:r>
      <w:r w:rsidR="00984AE5">
        <w:t xml:space="preserve"> to capacity loss.</w:t>
      </w:r>
      <w:r w:rsidR="000B78AB">
        <w:t xml:space="preserve"> IIOT requires solution which can be scaled.</w:t>
      </w:r>
      <w:bookmarkEnd w:id="7"/>
    </w:p>
    <w:p w14:paraId="5B9FE804" w14:textId="77777777" w:rsidR="00984AE5" w:rsidRPr="00CE0424" w:rsidRDefault="00984AE5" w:rsidP="00984AE5">
      <w:pPr>
        <w:pStyle w:val="Proposal"/>
        <w:numPr>
          <w:ilvl w:val="0"/>
          <w:numId w:val="29"/>
        </w:numPr>
      </w:pPr>
      <w:bookmarkStart w:id="8" w:name="_Toc118446620"/>
      <w:r>
        <w:t>UL-SRS Resource pool would not only require reserving time/frequency resource but also other resource such as sequence ID.</w:t>
      </w:r>
      <w:bookmarkEnd w:id="8"/>
    </w:p>
    <w:p w14:paraId="2094C26A" w14:textId="29D5DDEF" w:rsidR="00984AE5" w:rsidRDefault="007D336C" w:rsidP="00984AE5">
      <w:pPr>
        <w:pStyle w:val="Proposal"/>
        <w:numPr>
          <w:ilvl w:val="0"/>
          <w:numId w:val="29"/>
        </w:numPr>
      </w:pPr>
      <w:bookmarkStart w:id="9" w:name="_Toc118446621"/>
      <w:r>
        <w:t xml:space="preserve">Wrong TA leads to accuracy degradation. </w:t>
      </w:r>
      <w:r w:rsidR="00984AE5">
        <w:t>Preamble based TA update would lead to large positioning error. The objective however is High Accuracy</w:t>
      </w:r>
      <w:bookmarkEnd w:id="9"/>
    </w:p>
    <w:p w14:paraId="77AB96F0" w14:textId="7DE2D61E" w:rsidR="001F67CE" w:rsidRPr="00CE0424" w:rsidRDefault="001F67CE" w:rsidP="00984AE5">
      <w:pPr>
        <w:pStyle w:val="Proposal"/>
        <w:numPr>
          <w:ilvl w:val="0"/>
          <w:numId w:val="29"/>
        </w:numPr>
      </w:pPr>
      <w:bookmarkStart w:id="10" w:name="_Toc118446622"/>
      <w:r>
        <w:t>Over-provisioning of TRPs may have to be done where some of the TRPs must keep on listening even when nothing is heard.</w:t>
      </w:r>
      <w:bookmarkEnd w:id="10"/>
    </w:p>
    <w:p w14:paraId="40D327C3" w14:textId="77777777" w:rsidR="009406E6" w:rsidRPr="004E34D5" w:rsidRDefault="009406E6" w:rsidP="009406E6">
      <w:pPr>
        <w:rPr>
          <w:lang w:val="en-GB" w:eastAsia="ja-JP"/>
        </w:rPr>
      </w:pPr>
    </w:p>
    <w:p w14:paraId="6D972F23" w14:textId="77777777" w:rsidR="00521F9B" w:rsidRDefault="00521F9B" w:rsidP="00521F9B">
      <w:pPr>
        <w:rPr>
          <w:lang w:eastAsia="ja-JP"/>
        </w:rPr>
      </w:pPr>
    </w:p>
    <w:p w14:paraId="169EA9C3" w14:textId="37B011B9" w:rsidR="00521F9B" w:rsidRDefault="00521F9B" w:rsidP="00253CD8">
      <w:pPr>
        <w:pStyle w:val="Heading2"/>
        <w:rPr>
          <w:lang w:val="en-US"/>
        </w:rPr>
      </w:pPr>
      <w:r>
        <w:rPr>
          <w:lang w:val="en-US"/>
        </w:rPr>
        <w:t>2.2</w:t>
      </w:r>
      <w:r>
        <w:rPr>
          <w:lang w:val="en-US"/>
        </w:rPr>
        <w:tab/>
        <w:t>Potential Solutions</w:t>
      </w:r>
    </w:p>
    <w:p w14:paraId="7A41373B" w14:textId="0A01EA4D" w:rsidR="0076604E" w:rsidRDefault="00521F9B" w:rsidP="00521F9B">
      <w:pPr>
        <w:pStyle w:val="Heading3"/>
      </w:pPr>
      <w:r>
        <w:t>2.2.1</w:t>
      </w:r>
      <w:r>
        <w:tab/>
      </w:r>
      <w:r w:rsidR="0076604E">
        <w:t>Co-ordinated Sequence ID based UL-SRS Transmission</w:t>
      </w:r>
    </w:p>
    <w:p w14:paraId="2AE61FFB" w14:textId="52F6C41C" w:rsidR="0076604E" w:rsidRDefault="007F5A1A" w:rsidP="0076604E">
      <w:pPr>
        <w:rPr>
          <w:lang w:eastAsia="ja-JP"/>
        </w:rPr>
      </w:pPr>
      <w:r>
        <w:rPr>
          <w:lang w:eastAsia="ja-JP"/>
        </w:rPr>
        <w:t>RAN2 is currently discussing to study validity area of UL-SRS transmission. A validity area is defined based upon a geographical area (consisting of</w:t>
      </w:r>
      <w:r w:rsidR="003423D8">
        <w:rPr>
          <w:lang w:eastAsia="ja-JP"/>
        </w:rPr>
        <w:t xml:space="preserve"> one or</w:t>
      </w:r>
      <w:r>
        <w:rPr>
          <w:lang w:eastAsia="ja-JP"/>
        </w:rPr>
        <w:t xml:space="preserve"> more than one cell) where the UL-SRS transmission can be considered to be valid. </w:t>
      </w:r>
      <w:r w:rsidR="003B7E59">
        <w:rPr>
          <w:lang w:eastAsia="ja-JP"/>
        </w:rPr>
        <w:t>RAN2 has also asked RAN1 to check the feasibility from RAN1 perspective if that is possible.</w:t>
      </w:r>
    </w:p>
    <w:p w14:paraId="082F711C" w14:textId="77777777" w:rsidR="003B7E59" w:rsidRDefault="003B7E59" w:rsidP="0076604E">
      <w:pPr>
        <w:rPr>
          <w:lang w:eastAsia="ja-JP"/>
        </w:rPr>
      </w:pPr>
    </w:p>
    <w:p w14:paraId="6AC678B4" w14:textId="11C6E43A" w:rsidR="00DF6C44" w:rsidRDefault="00DF6C44" w:rsidP="00DF6C44">
      <w:pPr>
        <w:rPr>
          <w:lang w:eastAsia="ja-JP"/>
        </w:rPr>
      </w:pPr>
      <w:r w:rsidRPr="00DF6C44">
        <w:rPr>
          <w:lang w:eastAsia="ja-JP"/>
        </w:rPr>
        <w:t xml:space="preserve">In a controlled environment (factory, IIOT); there </w:t>
      </w:r>
      <w:r w:rsidR="00E83FA3">
        <w:rPr>
          <w:lang w:eastAsia="ja-JP"/>
        </w:rPr>
        <w:t xml:space="preserve">may be many low power devices requiring positioning and </w:t>
      </w:r>
      <w:r w:rsidRPr="00DF6C44">
        <w:rPr>
          <w:lang w:eastAsia="ja-JP"/>
        </w:rPr>
        <w:t xml:space="preserve">many </w:t>
      </w:r>
      <w:r w:rsidR="00E83FA3">
        <w:rPr>
          <w:lang w:eastAsia="ja-JP"/>
        </w:rPr>
        <w:t>dens</w:t>
      </w:r>
      <w:r w:rsidR="00D76401">
        <w:rPr>
          <w:lang w:eastAsia="ja-JP"/>
        </w:rPr>
        <w:t xml:space="preserve">ely deployed </w:t>
      </w:r>
      <w:r w:rsidRPr="00DF6C44">
        <w:rPr>
          <w:lang w:eastAsia="ja-JP"/>
        </w:rPr>
        <w:t>listening devices</w:t>
      </w:r>
      <w:r w:rsidR="00D76401">
        <w:rPr>
          <w:lang w:eastAsia="ja-JP"/>
        </w:rPr>
        <w:t>.</w:t>
      </w:r>
    </w:p>
    <w:p w14:paraId="05B50A9D" w14:textId="77777777" w:rsidR="00D76401" w:rsidRPr="00DF6C44" w:rsidRDefault="00D76401" w:rsidP="00DF6C44">
      <w:pPr>
        <w:rPr>
          <w:lang w:eastAsia="ja-JP"/>
        </w:rPr>
      </w:pPr>
    </w:p>
    <w:p w14:paraId="258A1C9B" w14:textId="75F0CF39" w:rsidR="00DF6C44" w:rsidRDefault="00D76401" w:rsidP="00DF6C44">
      <w:pPr>
        <w:rPr>
          <w:lang w:eastAsia="ja-JP"/>
        </w:rPr>
      </w:pPr>
      <w:r>
        <w:rPr>
          <w:lang w:eastAsia="ja-JP"/>
        </w:rPr>
        <w:t>W</w:t>
      </w:r>
      <w:r w:rsidR="00DF6C44" w:rsidRPr="00DF6C44">
        <w:rPr>
          <w:lang w:eastAsia="ja-JP"/>
        </w:rPr>
        <w:t>hen there are several listening devices; it may be difficult for LMF to co-ordinate with all the devices via NRPPa to listen to certain UL SRS transmission</w:t>
      </w:r>
      <w:r w:rsidR="00C340F1">
        <w:rPr>
          <w:lang w:eastAsia="ja-JP"/>
        </w:rPr>
        <w:t xml:space="preserve"> especially when the UE is in RRC Inactive mode and can pop up anywhere in the validity area</w:t>
      </w:r>
      <w:r w:rsidR="00DF6C44" w:rsidRPr="00DF6C44">
        <w:rPr>
          <w:lang w:eastAsia="ja-JP"/>
        </w:rPr>
        <w:t xml:space="preserve">. There may involve massive amount of signaling to co-ordinate; for example, for scenario shown in </w:t>
      </w:r>
      <w:r>
        <w:rPr>
          <w:lang w:eastAsia="ja-JP"/>
        </w:rPr>
        <w:t xml:space="preserve">below </w:t>
      </w:r>
      <w:r w:rsidR="00DF6C44" w:rsidRPr="00DF6C44">
        <w:rPr>
          <w:lang w:eastAsia="ja-JP"/>
        </w:rPr>
        <w:t xml:space="preserve">Figure where the UE in inactive mode may move in the cell. </w:t>
      </w:r>
    </w:p>
    <w:p w14:paraId="13E6CE23" w14:textId="77777777" w:rsidR="00DF6C44" w:rsidRDefault="00DF6C44" w:rsidP="00DF6C44">
      <w:pPr>
        <w:rPr>
          <w:lang w:eastAsia="ja-JP"/>
        </w:rPr>
      </w:pPr>
    </w:p>
    <w:p w14:paraId="529C33EE" w14:textId="77777777" w:rsidR="00DF6C44" w:rsidRPr="00DF6C44" w:rsidRDefault="00DF6C44" w:rsidP="00DF6C44">
      <w:pPr>
        <w:rPr>
          <w:lang w:eastAsia="ja-JP"/>
        </w:rPr>
      </w:pPr>
    </w:p>
    <w:p w14:paraId="3E783FC6" w14:textId="77777777" w:rsidR="00DF6C44" w:rsidRPr="00DF6C44" w:rsidRDefault="00DF6C44" w:rsidP="00DF6C44">
      <w:pPr>
        <w:rPr>
          <w:i/>
          <w:lang w:val="en-GB" w:eastAsia="ja-JP"/>
        </w:rPr>
      </w:pPr>
      <w:r w:rsidRPr="00DF6C44">
        <w:rPr>
          <w:i/>
          <w:lang w:eastAsia="ja-JP"/>
        </w:rPr>
        <w:object w:dxaOrig="4830" w:dyaOrig="3285" w14:anchorId="4DA436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5pt;height:164.25pt" o:ole="">
            <v:imagedata r:id="rId14" o:title=""/>
          </v:shape>
          <o:OLEObject Type="Embed" ProgID="Visio.Drawing.15" ShapeID="_x0000_i1025" DrawAspect="Content" ObjectID="_1729030600" r:id="rId15"/>
        </w:object>
      </w:r>
    </w:p>
    <w:p w14:paraId="26336420" w14:textId="77777777" w:rsidR="00DF6C44" w:rsidRPr="00DF6C44" w:rsidRDefault="00DF6C44" w:rsidP="00DF6C44">
      <w:pPr>
        <w:rPr>
          <w:lang w:eastAsia="ja-JP"/>
        </w:rPr>
      </w:pPr>
      <w:r w:rsidRPr="00DF6C44">
        <w:rPr>
          <w:lang w:eastAsia="ja-JP"/>
        </w:rPr>
        <w:t>Assuming RPi are the listening nodes (reception points) and RP1 is the serving node and is serving the UE in a cell. Based upon UE location; the optimum listening node that needs to be configured at location1 are (RP1, RP2, RP3, RP8); similarly, if UE moves at cell location 2 (RP6, RP7, RP8) and at cell location 3 it is (RP5, RP4, RP6)</w:t>
      </w:r>
    </w:p>
    <w:p w14:paraId="1C94E742" w14:textId="2FBB07E5" w:rsidR="00DF6C44" w:rsidRDefault="00DF6C44" w:rsidP="00DF6C44">
      <w:pPr>
        <w:rPr>
          <w:lang w:eastAsia="ja-JP"/>
        </w:rPr>
      </w:pPr>
      <w:r w:rsidRPr="616BE387">
        <w:rPr>
          <w:lang w:eastAsia="ja-JP"/>
        </w:rPr>
        <w:t>It is not possible for LMF to dynamically release and allocate new listening nodes as UE is not in connected mode.</w:t>
      </w:r>
      <w:r w:rsidR="003055FC" w:rsidRPr="616BE387">
        <w:rPr>
          <w:lang w:eastAsia="ja-JP"/>
        </w:rPr>
        <w:t xml:space="preserve"> The problem would scale if UL-SRS transmission is valid across multiple cells.</w:t>
      </w:r>
    </w:p>
    <w:p w14:paraId="4C7E22C1" w14:textId="77777777" w:rsidR="003055FC" w:rsidRPr="00DF6C44" w:rsidRDefault="003055FC" w:rsidP="00DF6C44">
      <w:pPr>
        <w:rPr>
          <w:lang w:eastAsia="ja-JP"/>
        </w:rPr>
      </w:pPr>
    </w:p>
    <w:p w14:paraId="52C80E53" w14:textId="521F1A47" w:rsidR="00DF6C44" w:rsidRPr="00DF6C44" w:rsidRDefault="00DF6C44" w:rsidP="0076604E">
      <w:pPr>
        <w:rPr>
          <w:lang w:val="en-GB" w:eastAsia="ja-JP"/>
        </w:rPr>
      </w:pPr>
      <w:r w:rsidRPr="00DF6C44">
        <w:rPr>
          <w:lang w:eastAsia="ja-JP"/>
        </w:rPr>
        <w:t>If LMF has to pre-configure and prepare the listening nodes; there may be massive signaling involved.</w:t>
      </w:r>
    </w:p>
    <w:p w14:paraId="2E54C650" w14:textId="77777777" w:rsidR="00DF6C44" w:rsidRDefault="00DF6C44" w:rsidP="0076604E">
      <w:pPr>
        <w:rPr>
          <w:lang w:eastAsia="ja-JP"/>
        </w:rPr>
      </w:pPr>
    </w:p>
    <w:p w14:paraId="696B06F6" w14:textId="52C88F73" w:rsidR="003B7E59" w:rsidRDefault="003055FC" w:rsidP="0076604E">
      <w:pPr>
        <w:rPr>
          <w:lang w:eastAsia="ja-JP"/>
        </w:rPr>
      </w:pPr>
      <w:r w:rsidRPr="2430C60D">
        <w:rPr>
          <w:lang w:eastAsia="ja-JP"/>
        </w:rPr>
        <w:t>Apart from overhead, another</w:t>
      </w:r>
      <w:r w:rsidR="003B7E59" w:rsidRPr="2430C60D">
        <w:rPr>
          <w:lang w:eastAsia="ja-JP"/>
        </w:rPr>
        <w:t xml:space="preserve"> issue is of </w:t>
      </w:r>
      <w:r w:rsidR="002041C4" w:rsidRPr="2430C60D">
        <w:rPr>
          <w:lang w:eastAsia="ja-JP"/>
        </w:rPr>
        <w:t>interference which happens if two UEs use same resources such as same PRB or sequence ID.</w:t>
      </w:r>
      <w:r w:rsidR="006A13FA" w:rsidRPr="2430C60D">
        <w:rPr>
          <w:lang w:eastAsia="ja-JP"/>
        </w:rPr>
        <w:t xml:space="preserve"> For multi-cell UL-SRS resource allocation, it is considered that there will be a UL-SRS resource pool and thus </w:t>
      </w:r>
      <w:r w:rsidR="005C7540" w:rsidRPr="2430C60D">
        <w:rPr>
          <w:lang w:eastAsia="ja-JP"/>
        </w:rPr>
        <w:t>multiple cells will require to reserve the resource in advance.</w:t>
      </w:r>
    </w:p>
    <w:p w14:paraId="094DD6BA" w14:textId="77777777" w:rsidR="005C7540" w:rsidRDefault="005C7540" w:rsidP="0076604E">
      <w:pPr>
        <w:rPr>
          <w:lang w:eastAsia="ja-JP"/>
        </w:rPr>
      </w:pPr>
    </w:p>
    <w:p w14:paraId="5398ECC6" w14:textId="2EDADB7B" w:rsidR="00571669" w:rsidRDefault="00571669" w:rsidP="0076604E">
      <w:pPr>
        <w:rPr>
          <w:lang w:eastAsia="ja-JP"/>
        </w:rPr>
      </w:pPr>
      <w:r>
        <w:rPr>
          <w:lang w:eastAsia="ja-JP"/>
        </w:rPr>
        <w:t>Apart from ensuring orthogonal resources</w:t>
      </w:r>
      <w:r w:rsidR="0001059B">
        <w:rPr>
          <w:lang w:eastAsia="ja-JP"/>
        </w:rPr>
        <w:t xml:space="preserve"> for UL-SRS in multiple cells</w:t>
      </w:r>
      <w:r>
        <w:rPr>
          <w:lang w:eastAsia="ja-JP"/>
        </w:rPr>
        <w:t xml:space="preserve">, </w:t>
      </w:r>
      <w:r w:rsidR="0001059B">
        <w:rPr>
          <w:lang w:eastAsia="ja-JP"/>
        </w:rPr>
        <w:t>a</w:t>
      </w:r>
      <w:r>
        <w:rPr>
          <w:lang w:eastAsia="ja-JP"/>
        </w:rPr>
        <w:t xml:space="preserve">nother issue </w:t>
      </w:r>
      <w:r w:rsidR="0001059B">
        <w:rPr>
          <w:lang w:eastAsia="ja-JP"/>
        </w:rPr>
        <w:t>that would require attention is of sequence ID.</w:t>
      </w:r>
      <w:r w:rsidR="0075495B">
        <w:rPr>
          <w:lang w:eastAsia="ja-JP"/>
        </w:rPr>
        <w:t xml:space="preserve"> If two UEs use the same sequence ID, </w:t>
      </w:r>
      <w:r w:rsidR="00532FCB" w:rsidRPr="00532FCB">
        <w:rPr>
          <w:lang w:eastAsia="ja-JP"/>
        </w:rPr>
        <w:t>it may cause interference issue hence a coordinated sequence ID allocation would be required</w:t>
      </w:r>
      <w:r w:rsidR="00A96760" w:rsidRPr="00A96760">
        <w:rPr>
          <w:lang w:eastAsia="ja-JP"/>
        </w:rPr>
        <w:t xml:space="preserve"> one more issue of using multi cell uplink SRS is </w:t>
      </w:r>
      <w:r w:rsidR="005D0CFE">
        <w:rPr>
          <w:lang w:eastAsia="ja-JP"/>
        </w:rPr>
        <w:t>that</w:t>
      </w:r>
      <w:r w:rsidR="005D0CFE" w:rsidRPr="005D0CFE">
        <w:rPr>
          <w:lang w:eastAsia="ja-JP"/>
        </w:rPr>
        <w:t xml:space="preserve"> </w:t>
      </w:r>
      <w:r w:rsidR="00B75ABD">
        <w:rPr>
          <w:lang w:eastAsia="ja-JP"/>
        </w:rPr>
        <w:t>the UE</w:t>
      </w:r>
      <w:r w:rsidR="005D0CFE" w:rsidRPr="005D0CFE">
        <w:rPr>
          <w:lang w:eastAsia="ja-JP"/>
        </w:rPr>
        <w:t xml:space="preserve"> </w:t>
      </w:r>
      <w:r w:rsidR="00B75ABD">
        <w:rPr>
          <w:lang w:eastAsia="ja-JP"/>
        </w:rPr>
        <w:t>roam</w:t>
      </w:r>
      <w:r w:rsidR="005D0CFE" w:rsidRPr="005D0CFE">
        <w:rPr>
          <w:lang w:eastAsia="ja-JP"/>
        </w:rPr>
        <w:t xml:space="preserve"> around anywhere in the </w:t>
      </w:r>
      <w:r w:rsidR="00B75ABD">
        <w:rPr>
          <w:lang w:eastAsia="ja-JP"/>
        </w:rPr>
        <w:t>valid area</w:t>
      </w:r>
      <w:r w:rsidR="00217E46">
        <w:rPr>
          <w:lang w:eastAsia="ja-JP"/>
        </w:rPr>
        <w:t xml:space="preserve">. </w:t>
      </w:r>
      <w:r w:rsidR="00C62F25" w:rsidRPr="00C62F25">
        <w:rPr>
          <w:lang w:eastAsia="ja-JP"/>
        </w:rPr>
        <w:t>Several listening no</w:t>
      </w:r>
      <w:r w:rsidR="00B51158">
        <w:rPr>
          <w:lang w:eastAsia="ja-JP"/>
        </w:rPr>
        <w:t>d</w:t>
      </w:r>
      <w:r w:rsidR="00C62F25" w:rsidRPr="00C62F25">
        <w:rPr>
          <w:lang w:eastAsia="ja-JP"/>
        </w:rPr>
        <w:t xml:space="preserve">es may have to be configured </w:t>
      </w:r>
      <w:r w:rsidR="00B51158">
        <w:rPr>
          <w:lang w:eastAsia="ja-JP"/>
        </w:rPr>
        <w:t>as UE</w:t>
      </w:r>
      <w:r w:rsidR="00C62F25" w:rsidRPr="00C62F25">
        <w:rPr>
          <w:lang w:eastAsia="ja-JP"/>
        </w:rPr>
        <w:t xml:space="preserve"> </w:t>
      </w:r>
      <w:r w:rsidR="00B51158">
        <w:rPr>
          <w:lang w:eastAsia="ja-JP"/>
        </w:rPr>
        <w:t>may</w:t>
      </w:r>
      <w:r w:rsidR="00C62F25" w:rsidRPr="00C62F25">
        <w:rPr>
          <w:lang w:eastAsia="ja-JP"/>
        </w:rPr>
        <w:t xml:space="preserve"> </w:t>
      </w:r>
      <w:r w:rsidR="00B51158">
        <w:rPr>
          <w:lang w:eastAsia="ja-JP"/>
        </w:rPr>
        <w:t>p</w:t>
      </w:r>
      <w:r w:rsidR="00C62F25" w:rsidRPr="00C62F25">
        <w:rPr>
          <w:lang w:eastAsia="ja-JP"/>
        </w:rPr>
        <w:t xml:space="preserve">op </w:t>
      </w:r>
      <w:r w:rsidR="00B51158">
        <w:rPr>
          <w:lang w:eastAsia="ja-JP"/>
        </w:rPr>
        <w:t>up</w:t>
      </w:r>
      <w:r w:rsidR="00C62F25" w:rsidRPr="00C62F25">
        <w:rPr>
          <w:lang w:eastAsia="ja-JP"/>
        </w:rPr>
        <w:t xml:space="preserve"> anywhere in the valid area</w:t>
      </w:r>
      <w:r w:rsidR="00B51158">
        <w:rPr>
          <w:lang w:eastAsia="ja-JP"/>
        </w:rPr>
        <w:t>. T</w:t>
      </w:r>
      <w:r w:rsidR="00B51158" w:rsidRPr="00B51158">
        <w:rPr>
          <w:lang w:eastAsia="ja-JP"/>
        </w:rPr>
        <w:t>he network may also have to over dimension the list</w:t>
      </w:r>
      <w:r w:rsidR="00B51158">
        <w:rPr>
          <w:lang w:eastAsia="ja-JP"/>
        </w:rPr>
        <w:t>ening</w:t>
      </w:r>
      <w:r w:rsidR="00B51158" w:rsidRPr="00B51158">
        <w:rPr>
          <w:lang w:eastAsia="ja-JP"/>
        </w:rPr>
        <w:t xml:space="preserve"> no</w:t>
      </w:r>
      <w:r w:rsidR="00B51158">
        <w:rPr>
          <w:lang w:eastAsia="ja-JP"/>
        </w:rPr>
        <w:t>d</w:t>
      </w:r>
      <w:r w:rsidR="00B51158" w:rsidRPr="00B51158">
        <w:rPr>
          <w:lang w:eastAsia="ja-JP"/>
        </w:rPr>
        <w:t>es</w:t>
      </w:r>
      <w:r w:rsidR="00B51158">
        <w:rPr>
          <w:lang w:eastAsia="ja-JP"/>
        </w:rPr>
        <w:t xml:space="preserve">. </w:t>
      </w:r>
      <w:r w:rsidR="00B51158" w:rsidRPr="00B51158">
        <w:rPr>
          <w:lang w:eastAsia="ja-JP"/>
        </w:rPr>
        <w:t xml:space="preserve"> </w:t>
      </w:r>
      <w:r w:rsidR="00B51158">
        <w:rPr>
          <w:lang w:eastAsia="ja-JP"/>
        </w:rPr>
        <w:t>Fur</w:t>
      </w:r>
      <w:r w:rsidR="00817A2B" w:rsidRPr="00817A2B">
        <w:rPr>
          <w:lang w:eastAsia="ja-JP"/>
        </w:rPr>
        <w:t>ther</w:t>
      </w:r>
      <w:r w:rsidR="00217E46">
        <w:rPr>
          <w:lang w:eastAsia="ja-JP"/>
        </w:rPr>
        <w:t>,</w:t>
      </w:r>
      <w:r w:rsidR="00817A2B" w:rsidRPr="00817A2B">
        <w:rPr>
          <w:lang w:eastAsia="ja-JP"/>
        </w:rPr>
        <w:t xml:space="preserve"> if there is any RSRP fluctuation</w:t>
      </w:r>
      <w:r w:rsidR="00A771B6">
        <w:rPr>
          <w:lang w:eastAsia="ja-JP"/>
        </w:rPr>
        <w:t>,</w:t>
      </w:r>
      <w:r w:rsidR="00817A2B" w:rsidRPr="00817A2B">
        <w:rPr>
          <w:lang w:eastAsia="ja-JP"/>
        </w:rPr>
        <w:t xml:space="preserve"> th</w:t>
      </w:r>
      <w:r w:rsidR="00A771B6">
        <w:rPr>
          <w:lang w:eastAsia="ja-JP"/>
        </w:rPr>
        <w:t>e</w:t>
      </w:r>
      <w:r w:rsidR="00817A2B" w:rsidRPr="00817A2B">
        <w:rPr>
          <w:lang w:eastAsia="ja-JP"/>
        </w:rPr>
        <w:t xml:space="preserve"> </w:t>
      </w:r>
      <w:r w:rsidR="00217E46">
        <w:rPr>
          <w:lang w:eastAsia="ja-JP"/>
        </w:rPr>
        <w:t>UE</w:t>
      </w:r>
      <w:r w:rsidR="00817A2B" w:rsidRPr="00817A2B">
        <w:rPr>
          <w:lang w:eastAsia="ja-JP"/>
        </w:rPr>
        <w:t xml:space="preserve"> </w:t>
      </w:r>
      <w:r w:rsidR="00A771B6">
        <w:rPr>
          <w:lang w:eastAsia="ja-JP"/>
        </w:rPr>
        <w:t xml:space="preserve">could </w:t>
      </w:r>
      <w:r w:rsidR="00817A2B" w:rsidRPr="00817A2B">
        <w:rPr>
          <w:lang w:eastAsia="ja-JP"/>
        </w:rPr>
        <w:t xml:space="preserve">have </w:t>
      </w:r>
      <w:r w:rsidR="00A771B6">
        <w:rPr>
          <w:lang w:eastAsia="ja-JP"/>
        </w:rPr>
        <w:t xml:space="preserve">already </w:t>
      </w:r>
      <w:r w:rsidR="00817A2B" w:rsidRPr="00817A2B">
        <w:rPr>
          <w:lang w:eastAsia="ja-JP"/>
        </w:rPr>
        <w:t>released the uplink resources</w:t>
      </w:r>
      <w:r w:rsidR="00A771B6">
        <w:rPr>
          <w:lang w:eastAsia="ja-JP"/>
        </w:rPr>
        <w:t>.</w:t>
      </w:r>
      <w:r w:rsidR="009C2A15" w:rsidRPr="009C2A15">
        <w:rPr>
          <w:lang w:eastAsia="ja-JP"/>
        </w:rPr>
        <w:t xml:space="preserve"> </w:t>
      </w:r>
      <w:r w:rsidR="00A771B6">
        <w:rPr>
          <w:lang w:eastAsia="ja-JP"/>
        </w:rPr>
        <w:t>T</w:t>
      </w:r>
      <w:r w:rsidR="009C2A15" w:rsidRPr="009C2A15">
        <w:rPr>
          <w:lang w:eastAsia="ja-JP"/>
        </w:rPr>
        <w:t>he listening no</w:t>
      </w:r>
      <w:r w:rsidR="00BF3BE8">
        <w:rPr>
          <w:lang w:eastAsia="ja-JP"/>
        </w:rPr>
        <w:t>de</w:t>
      </w:r>
      <w:r w:rsidR="009C2A15" w:rsidRPr="009C2A15">
        <w:rPr>
          <w:lang w:eastAsia="ja-JP"/>
        </w:rPr>
        <w:t xml:space="preserve"> may not be aware that </w:t>
      </w:r>
      <w:r w:rsidR="00A771B6">
        <w:rPr>
          <w:lang w:eastAsia="ja-JP"/>
        </w:rPr>
        <w:t>UE</w:t>
      </w:r>
      <w:r w:rsidR="009C2A15" w:rsidRPr="009C2A15">
        <w:rPr>
          <w:lang w:eastAsia="ja-JP"/>
        </w:rPr>
        <w:t xml:space="preserve"> will has already stopped this causes another overhead on the network side</w:t>
      </w:r>
      <w:r w:rsidR="007D509B">
        <w:rPr>
          <w:lang w:eastAsia="ja-JP"/>
        </w:rPr>
        <w:t>.</w:t>
      </w:r>
    </w:p>
    <w:p w14:paraId="2FAA001D" w14:textId="77777777" w:rsidR="007D509B" w:rsidRDefault="007D509B" w:rsidP="0076604E">
      <w:pPr>
        <w:rPr>
          <w:lang w:eastAsia="ja-JP"/>
        </w:rPr>
      </w:pPr>
    </w:p>
    <w:p w14:paraId="504500B1" w14:textId="42CAE9AE" w:rsidR="003F58F2" w:rsidRPr="003F58F2" w:rsidRDefault="003F58F2" w:rsidP="003F58F2">
      <w:pPr>
        <w:rPr>
          <w:lang w:eastAsia="ja-JP"/>
        </w:rPr>
      </w:pPr>
      <w:r w:rsidRPr="003F58F2">
        <w:rPr>
          <w:lang w:eastAsia="ja-JP"/>
        </w:rPr>
        <w:t xml:space="preserve">Rather </w:t>
      </w:r>
      <w:r w:rsidR="006F4160">
        <w:rPr>
          <w:lang w:eastAsia="ja-JP"/>
        </w:rPr>
        <w:t xml:space="preserve">than </w:t>
      </w:r>
      <w:r w:rsidRPr="003F58F2">
        <w:rPr>
          <w:lang w:eastAsia="ja-JP"/>
        </w:rPr>
        <w:t>providing the NRPPa signaling to configure to listen about when UE will transmit, one solution is to enable these listening devices (reception points or RPs) to be able to identify which UE’s UL SRS is received by detecting and measuring the UL SRS</w:t>
      </w:r>
      <w:r w:rsidR="00577A85">
        <w:rPr>
          <w:lang w:eastAsia="ja-JP"/>
        </w:rPr>
        <w:t xml:space="preserve"> (blind decoding)</w:t>
      </w:r>
      <w:r w:rsidRPr="003F58F2">
        <w:rPr>
          <w:lang w:eastAsia="ja-JP"/>
        </w:rPr>
        <w:t>. These listening devices can then report to the LMF the measurement report for a certain UE that is in inactive state. The listening device may also include the detected Rx power corresponding UL SRS transmission to LMF. LMF, serving gNB or listening gNB may decide if the UE in inactive mode is causing interference. In such case, the LMF would notify AMF to page to that UE so the UE will come to connected mode and the UL SRS configuration will be reconfigured.</w:t>
      </w:r>
    </w:p>
    <w:p w14:paraId="74E534FB" w14:textId="77777777" w:rsidR="00885414" w:rsidRDefault="00885414" w:rsidP="003F58F2">
      <w:pPr>
        <w:rPr>
          <w:lang w:eastAsia="ja-JP"/>
        </w:rPr>
      </w:pPr>
    </w:p>
    <w:p w14:paraId="023857C0" w14:textId="440AFEFE" w:rsidR="003F58F2" w:rsidRPr="003F58F2" w:rsidRDefault="003F58F2" w:rsidP="003F58F2">
      <w:pPr>
        <w:rPr>
          <w:lang w:eastAsia="ja-JP"/>
        </w:rPr>
      </w:pPr>
      <w:r w:rsidRPr="003F58F2">
        <w:rPr>
          <w:lang w:eastAsia="ja-JP"/>
        </w:rPr>
        <w:t>In order to make this work, UE specific UL SRS based transmission would be needed so that RPs can identify which UE is transmitting without much co-ordination needed from LMF.</w:t>
      </w:r>
    </w:p>
    <w:p w14:paraId="468B253C" w14:textId="77777777" w:rsidR="003F58F2" w:rsidRPr="003F58F2" w:rsidRDefault="003F58F2" w:rsidP="003F58F2">
      <w:pPr>
        <w:rPr>
          <w:lang w:eastAsia="ja-JP"/>
        </w:rPr>
      </w:pPr>
      <w:r w:rsidRPr="003F58F2">
        <w:rPr>
          <w:lang w:eastAsia="ja-JP"/>
        </w:rPr>
        <w:t xml:space="preserve">In current specifications, the UL SRS transmission is based on the below sequence ID </w:t>
      </w:r>
      <w:r w:rsidRPr="003F58F2">
        <w:rPr>
          <w:i/>
          <w:lang w:eastAsia="ja-JP"/>
        </w:rPr>
        <w:object w:dxaOrig="405" w:dyaOrig="315" w14:anchorId="5CDE2CA5">
          <v:shape id="_x0000_i1026" type="#_x0000_t75" style="width:20.25pt;height:15.75pt" o:ole="">
            <v:imagedata r:id="rId16" o:title=""/>
          </v:shape>
          <o:OLEObject Type="Embed" ProgID="Equation.3" ShapeID="_x0000_i1026" DrawAspect="Content" ObjectID="_1729030601" r:id="rId17"/>
        </w:object>
      </w:r>
      <w:r w:rsidRPr="003F58F2">
        <w:rPr>
          <w:lang w:eastAsia="ja-JP"/>
        </w:rPr>
        <w:t xml:space="preserve"> and is not UE ID specific.  The current definition from 3GPP TS 38.211 V16.6.0 is given below: </w:t>
      </w:r>
    </w:p>
    <w:p w14:paraId="63204963" w14:textId="768649AE" w:rsidR="003F58F2" w:rsidRPr="003F58F2" w:rsidRDefault="003F58F2" w:rsidP="003F58F2">
      <w:pPr>
        <w:rPr>
          <w:lang w:eastAsia="ja-JP"/>
        </w:rPr>
      </w:pPr>
      <w:r w:rsidRPr="003F58F2">
        <w:rPr>
          <w:i/>
          <w:lang w:val="en-GB" w:eastAsia="ja-JP"/>
        </w:rPr>
        <w:t xml:space="preserve">“The SRS sequence identity </w:t>
      </w:r>
      <w:r w:rsidRPr="003F58F2">
        <w:rPr>
          <w:i/>
          <w:lang w:eastAsia="ja-JP"/>
        </w:rPr>
        <w:object w:dxaOrig="405" w:dyaOrig="315" w14:anchorId="52638DD5">
          <v:shape id="_x0000_i1027" type="#_x0000_t75" style="width:20.25pt;height:15.75pt" o:ole="">
            <v:imagedata r:id="rId16" o:title=""/>
          </v:shape>
          <o:OLEObject Type="Embed" ProgID="Equation.3" ShapeID="_x0000_i1027" DrawAspect="Content" ObjectID="_1729030602" r:id="rId18"/>
        </w:object>
      </w:r>
      <w:r w:rsidRPr="003F58F2">
        <w:rPr>
          <w:i/>
          <w:lang w:val="en-GB" w:eastAsia="ja-JP"/>
        </w:rPr>
        <w:t xml:space="preserve"> is given by the higher layer parameter sequenceId in the SRS-Config IE, in which case </w:t>
      </w:r>
      <m:oMath>
        <m:sSubSup>
          <m:sSubSupPr>
            <m:ctrlPr>
              <w:rPr>
                <w:rFonts w:ascii="Cambria Math" w:hAnsi="Cambria Math"/>
                <w:i/>
                <w:lang w:eastAsia="ja-JP"/>
              </w:rPr>
            </m:ctrlPr>
          </m:sSubSupPr>
          <m:e>
            <m:r>
              <w:rPr>
                <w:rFonts w:ascii="Cambria Math" w:hAnsi="Cambria Math"/>
                <w:lang w:val="en-GB" w:eastAsia="ja-JP"/>
              </w:rPr>
              <m:t>n</m:t>
            </m:r>
          </m:e>
          <m:sub>
            <m:r>
              <m:rPr>
                <m:nor/>
              </m:rPr>
              <w:rPr>
                <w:i/>
                <w:lang w:val="en-GB" w:eastAsia="ja-JP"/>
              </w:rPr>
              <m:t>ID</m:t>
            </m:r>
          </m:sub>
          <m:sup>
            <m:r>
              <m:rPr>
                <m:nor/>
              </m:rPr>
              <w:rPr>
                <w:i/>
                <w:lang w:val="en-GB" w:eastAsia="ja-JP"/>
              </w:rPr>
              <m:t>SRS</m:t>
            </m:r>
          </m:sup>
        </m:sSubSup>
        <m:r>
          <w:rPr>
            <w:rFonts w:ascii="Cambria Math" w:hAnsi="Cambria Math"/>
            <w:lang w:val="en-GB" w:eastAsia="ja-JP"/>
          </w:rPr>
          <m:t>∈</m:t>
        </m:r>
        <m:d>
          <m:dPr>
            <m:begChr m:val="{"/>
            <m:endChr m:val="}"/>
            <m:ctrlPr>
              <w:rPr>
                <w:rFonts w:ascii="Cambria Math" w:hAnsi="Cambria Math"/>
                <w:i/>
                <w:lang w:eastAsia="ja-JP"/>
              </w:rPr>
            </m:ctrlPr>
          </m:dPr>
          <m:e>
            <m:r>
              <w:rPr>
                <w:rFonts w:ascii="Cambria Math" w:hAnsi="Cambria Math"/>
                <w:lang w:val="en-GB" w:eastAsia="ja-JP"/>
              </w:rPr>
              <m:t>0, 1, …, 1023</m:t>
            </m:r>
          </m:e>
        </m:d>
      </m:oMath>
      <w:r w:rsidRPr="003F58F2">
        <w:rPr>
          <w:i/>
          <w:lang w:val="en-GB" w:eastAsia="ja-JP"/>
        </w:rPr>
        <w:t xml:space="preserve">, or the [SRS-for-positioning] IE, in which case </w:t>
      </w:r>
      <m:oMath>
        <m:sSubSup>
          <m:sSubSupPr>
            <m:ctrlPr>
              <w:rPr>
                <w:rFonts w:ascii="Cambria Math" w:hAnsi="Cambria Math"/>
                <w:i/>
                <w:lang w:eastAsia="ja-JP"/>
              </w:rPr>
            </m:ctrlPr>
          </m:sSubSupPr>
          <m:e>
            <m:r>
              <w:rPr>
                <w:rFonts w:ascii="Cambria Math" w:hAnsi="Cambria Math"/>
                <w:lang w:val="en-GB" w:eastAsia="ja-JP"/>
              </w:rPr>
              <m:t>n</m:t>
            </m:r>
          </m:e>
          <m:sub>
            <m:r>
              <m:rPr>
                <m:nor/>
              </m:rPr>
              <w:rPr>
                <w:i/>
                <w:lang w:val="en-GB" w:eastAsia="ja-JP"/>
              </w:rPr>
              <m:t>ID</m:t>
            </m:r>
          </m:sub>
          <m:sup>
            <m:r>
              <m:rPr>
                <m:nor/>
              </m:rPr>
              <w:rPr>
                <w:i/>
                <w:lang w:val="en-GB" w:eastAsia="ja-JP"/>
              </w:rPr>
              <m:t>SRS</m:t>
            </m:r>
          </m:sup>
        </m:sSubSup>
        <m:r>
          <w:rPr>
            <w:rFonts w:ascii="Cambria Math" w:hAnsi="Cambria Math"/>
            <w:lang w:val="en-GB" w:eastAsia="ja-JP"/>
          </w:rPr>
          <m:t>∈</m:t>
        </m:r>
        <m:d>
          <m:dPr>
            <m:begChr m:val="{"/>
            <m:endChr m:val="}"/>
            <m:ctrlPr>
              <w:rPr>
                <w:rFonts w:ascii="Cambria Math" w:hAnsi="Cambria Math"/>
                <w:i/>
                <w:lang w:eastAsia="ja-JP"/>
              </w:rPr>
            </m:ctrlPr>
          </m:dPr>
          <m:e>
            <m:r>
              <w:rPr>
                <w:rFonts w:ascii="Cambria Math" w:hAnsi="Cambria Math"/>
                <w:lang w:val="en-GB" w:eastAsia="ja-JP"/>
              </w:rPr>
              <m:t>0, 1, …, 65535</m:t>
            </m:r>
          </m:e>
        </m:d>
      </m:oMath>
      <w:r w:rsidRPr="003F58F2">
        <w:rPr>
          <w:i/>
          <w:lang w:val="en-GB" w:eastAsia="ja-JP"/>
        </w:rPr>
        <w:t xml:space="preserve">. The quantity </w:t>
      </w:r>
      <m:oMath>
        <m:r>
          <w:rPr>
            <w:rFonts w:ascii="Cambria Math" w:hAnsi="Cambria Math"/>
            <w:lang w:val="en-GB" w:eastAsia="ja-JP"/>
          </w:rPr>
          <m:t>l</m:t>
        </m:r>
        <m:r>
          <w:rPr>
            <w:rFonts w:ascii="Cambria Math" w:hAnsi="Cambria Math" w:hint="eastAsia"/>
            <w:lang w:val="en-GB" w:eastAsia="ja-JP"/>
          </w:rPr>
          <m:t>'</m:t>
        </m:r>
        <m:r>
          <w:rPr>
            <w:rFonts w:ascii="Cambria Math" w:hAnsi="Cambria Math"/>
            <w:lang w:val="en-GB" w:eastAsia="ja-JP"/>
          </w:rPr>
          <m:t>∈</m:t>
        </m:r>
        <m:d>
          <m:dPr>
            <m:begChr m:val="{"/>
            <m:endChr m:val="}"/>
            <m:ctrlPr>
              <w:rPr>
                <w:rFonts w:ascii="Cambria Math" w:hAnsi="Cambria Math"/>
                <w:i/>
                <w:lang w:eastAsia="ja-JP"/>
              </w:rPr>
            </m:ctrlPr>
          </m:dPr>
          <m:e>
            <m:r>
              <w:rPr>
                <w:rFonts w:ascii="Cambria Math" w:hAnsi="Cambria Math"/>
                <w:lang w:val="en-GB" w:eastAsia="ja-JP"/>
              </w:rPr>
              <m:t>0,1,…,</m:t>
            </m:r>
            <m:sSubSup>
              <m:sSubSupPr>
                <m:ctrlPr>
                  <w:rPr>
                    <w:rFonts w:ascii="Cambria Math" w:hAnsi="Cambria Math"/>
                    <w:i/>
                    <w:lang w:eastAsia="ja-JP"/>
                  </w:rPr>
                </m:ctrlPr>
              </m:sSubSupPr>
              <m:e>
                <m:r>
                  <w:rPr>
                    <w:rFonts w:ascii="Cambria Math" w:hAnsi="Cambria Math"/>
                    <w:lang w:val="en-GB" w:eastAsia="ja-JP"/>
                  </w:rPr>
                  <m:t>N</m:t>
                </m:r>
              </m:e>
              <m:sub>
                <m:r>
                  <m:rPr>
                    <m:nor/>
                  </m:rPr>
                  <w:rPr>
                    <w:i/>
                    <w:lang w:val="en-GB" w:eastAsia="ja-JP"/>
                  </w:rPr>
                  <m:t>symb</m:t>
                </m:r>
              </m:sub>
              <m:sup>
                <m:r>
                  <m:rPr>
                    <m:nor/>
                  </m:rPr>
                  <w:rPr>
                    <w:i/>
                    <w:lang w:val="en-GB" w:eastAsia="ja-JP"/>
                  </w:rPr>
                  <m:t>SRS</m:t>
                </m:r>
              </m:sup>
            </m:sSubSup>
            <m:r>
              <w:rPr>
                <w:rFonts w:ascii="Cambria Math" w:hAnsi="Cambria Math"/>
                <w:lang w:val="en-GB" w:eastAsia="ja-JP"/>
              </w:rPr>
              <m:t>-1</m:t>
            </m:r>
          </m:e>
        </m:d>
      </m:oMath>
      <w:r w:rsidRPr="003F58F2">
        <w:rPr>
          <w:i/>
          <w:lang w:val="en-GB" w:eastAsia="ja-JP"/>
        </w:rPr>
        <w:t xml:space="preserve"> is the OFDM symbol number within the SRS resource.”</w:t>
      </w:r>
    </w:p>
    <w:p w14:paraId="36CDB9BB" w14:textId="77777777" w:rsidR="003F58F2" w:rsidRDefault="003F58F2" w:rsidP="0076604E">
      <w:pPr>
        <w:rPr>
          <w:lang w:eastAsia="ja-JP"/>
        </w:rPr>
      </w:pPr>
    </w:p>
    <w:p w14:paraId="35F709AA" w14:textId="74DE344D" w:rsidR="007D53CE" w:rsidRDefault="007D53CE" w:rsidP="0076604E">
      <w:pPr>
        <w:rPr>
          <w:lang w:eastAsia="ja-JP"/>
        </w:rPr>
      </w:pPr>
      <w:r>
        <w:rPr>
          <w:lang w:eastAsia="ja-JP"/>
        </w:rPr>
        <w:t>One possible way is that each UE is assigned non-overlapping sequence ID (unique sequence ID) and LMF informs which sequence IDs are currently active. Thus, the listening node try to decode the sequence ID and perform the measurement.</w:t>
      </w:r>
    </w:p>
    <w:p w14:paraId="2C87C7D1" w14:textId="77777777" w:rsidR="007D53CE" w:rsidRDefault="007D53CE" w:rsidP="0076604E">
      <w:pPr>
        <w:rPr>
          <w:lang w:eastAsia="ja-JP"/>
        </w:rPr>
      </w:pPr>
    </w:p>
    <w:p w14:paraId="29D47D4F" w14:textId="38464FDF" w:rsidR="001B38F3" w:rsidRDefault="001B38F3" w:rsidP="001B38F3">
      <w:pPr>
        <w:pStyle w:val="Observation"/>
      </w:pPr>
      <w:bookmarkStart w:id="11" w:name="_Toc118446636"/>
      <w:r>
        <w:t xml:space="preserve">UL-SRS transmission across multiple cells would cause NW overhead and interference. </w:t>
      </w:r>
      <w:r w:rsidR="00573A76" w:rsidRPr="00573A76">
        <w:t>In order to resolve these issues, it may be desired that each UE has UE specific reference signal and listening nodes are able to identify which UE has transmitted without requiring dynamic NRPPa signaling.</w:t>
      </w:r>
      <w:r w:rsidR="00573A76">
        <w:t xml:space="preserve"> Hence, </w:t>
      </w:r>
      <w:r w:rsidR="00F207D1">
        <w:t>some</w:t>
      </w:r>
      <w:r>
        <w:t xml:space="preserve"> co-ordination and UE specific UL-SRS transmission is desired.</w:t>
      </w:r>
      <w:bookmarkEnd w:id="11"/>
    </w:p>
    <w:p w14:paraId="02BE9060" w14:textId="77777777" w:rsidR="001B38F3" w:rsidRDefault="001B38F3" w:rsidP="001B38F3">
      <w:pPr>
        <w:pStyle w:val="Observation"/>
        <w:numPr>
          <w:ilvl w:val="0"/>
          <w:numId w:val="0"/>
        </w:numPr>
        <w:ind w:left="360"/>
      </w:pPr>
    </w:p>
    <w:p w14:paraId="532F0DBA" w14:textId="77777777" w:rsidR="00267372" w:rsidRDefault="00267372" w:rsidP="00267372">
      <w:pPr>
        <w:rPr>
          <w:lang w:eastAsia="ja-JP"/>
        </w:rPr>
      </w:pPr>
      <w:r w:rsidRPr="00471B77">
        <w:rPr>
          <w:lang w:eastAsia="ja-JP"/>
        </w:rPr>
        <w:t>AMF</w:t>
      </w:r>
      <w:r>
        <w:rPr>
          <w:lang w:eastAsia="ja-JP"/>
        </w:rPr>
        <w:t xml:space="preserve"> can</w:t>
      </w:r>
      <w:r w:rsidRPr="00471B77">
        <w:rPr>
          <w:lang w:eastAsia="ja-JP"/>
        </w:rPr>
        <w:t xml:space="preserve"> allocate a unique ID per UE from current sequence ID (1 to 65535) to each gNB. gNB will use this ID to assign to the UE for UL SRS (or UL PRS) sequence generation. AMF </w:t>
      </w:r>
      <w:r>
        <w:rPr>
          <w:lang w:eastAsia="ja-JP"/>
        </w:rPr>
        <w:t xml:space="preserve">can </w:t>
      </w:r>
      <w:r w:rsidRPr="00471B77">
        <w:rPr>
          <w:lang w:eastAsia="ja-JP"/>
        </w:rPr>
        <w:t>maintain the mapping of UE TMSI and the sequence ID. Considering that for IIOT environment there are not more than 65535 UEs; these ID may already suffice. Further, the IDs can be made cell bound</w:t>
      </w:r>
      <w:r>
        <w:rPr>
          <w:lang w:eastAsia="ja-JP"/>
        </w:rPr>
        <w:t xml:space="preserve"> (validity area bound)</w:t>
      </w:r>
      <w:r w:rsidRPr="00471B77">
        <w:rPr>
          <w:lang w:eastAsia="ja-JP"/>
        </w:rPr>
        <w:t>.  That is, as long as UE is in a cell</w:t>
      </w:r>
      <w:r>
        <w:rPr>
          <w:lang w:eastAsia="ja-JP"/>
        </w:rPr>
        <w:t>/validity area</w:t>
      </w:r>
      <w:r w:rsidRPr="00471B77">
        <w:rPr>
          <w:lang w:eastAsia="ja-JP"/>
        </w:rPr>
        <w:t xml:space="preserve"> the ID is valid and UE always uses that ID to generate the UL SRS </w:t>
      </w:r>
      <w:r>
        <w:rPr>
          <w:lang w:eastAsia="ja-JP"/>
        </w:rPr>
        <w:t>so the listening nodes can identify</w:t>
      </w:r>
      <w:r w:rsidRPr="00471B77">
        <w:rPr>
          <w:lang w:eastAsia="ja-JP"/>
        </w:rPr>
        <w:t>. When the UE does cell reselection (selects another cell</w:t>
      </w:r>
      <w:r>
        <w:rPr>
          <w:lang w:eastAsia="ja-JP"/>
        </w:rPr>
        <w:t xml:space="preserve"> which is not in validity area</w:t>
      </w:r>
      <w:r w:rsidRPr="00471B77">
        <w:rPr>
          <w:lang w:eastAsia="ja-JP"/>
        </w:rPr>
        <w:t xml:space="preserve">), it will then go to connected mode and notify that </w:t>
      </w:r>
      <w:r>
        <w:rPr>
          <w:lang w:eastAsia="ja-JP"/>
        </w:rPr>
        <w:t xml:space="preserve">to </w:t>
      </w:r>
      <w:r w:rsidRPr="00471B77">
        <w:rPr>
          <w:lang w:eastAsia="ja-JP"/>
        </w:rPr>
        <w:t>gNB</w:t>
      </w:r>
      <w:r>
        <w:rPr>
          <w:lang w:eastAsia="ja-JP"/>
        </w:rPr>
        <w:t>/AMF</w:t>
      </w:r>
      <w:r w:rsidRPr="00471B77">
        <w:rPr>
          <w:lang w:eastAsia="ja-JP"/>
        </w:rPr>
        <w:t xml:space="preserve"> so that the ID is freed.</w:t>
      </w:r>
    </w:p>
    <w:p w14:paraId="7BDDB3B9" w14:textId="77777777" w:rsidR="001B38F3" w:rsidRDefault="001B38F3" w:rsidP="001B38F3">
      <w:pPr>
        <w:pStyle w:val="Proposal"/>
        <w:numPr>
          <w:ilvl w:val="0"/>
          <w:numId w:val="0"/>
        </w:numPr>
        <w:ind w:left="2421"/>
      </w:pPr>
    </w:p>
    <w:p w14:paraId="0344B2A0" w14:textId="607FE8E5" w:rsidR="001B38F3" w:rsidRDefault="005C4390" w:rsidP="001B38F3">
      <w:pPr>
        <w:pStyle w:val="Proposal"/>
      </w:pPr>
      <w:bookmarkStart w:id="12" w:name="_Toc118446623"/>
      <w:r>
        <w:t xml:space="preserve">Sequence ID co-ordination </w:t>
      </w:r>
      <w:r w:rsidR="008C07D1">
        <w:t xml:space="preserve">and allocation </w:t>
      </w:r>
      <w:r>
        <w:t>is done such that each UE UL-SRS in a</w:t>
      </w:r>
      <w:r w:rsidR="008C07D1">
        <w:t xml:space="preserve"> validity</w:t>
      </w:r>
      <w:r>
        <w:t xml:space="preserve"> area uniquely </w:t>
      </w:r>
      <w:r w:rsidR="008C07D1">
        <w:t xml:space="preserve">identifies the </w:t>
      </w:r>
      <w:r w:rsidR="009275C6">
        <w:t>UE</w:t>
      </w:r>
      <w:r w:rsidR="001B38F3">
        <w:t>.</w:t>
      </w:r>
      <w:bookmarkEnd w:id="12"/>
    </w:p>
    <w:p w14:paraId="1A27A96A" w14:textId="77777777" w:rsidR="007D53CE" w:rsidRPr="001B38F3" w:rsidRDefault="007D53CE" w:rsidP="0076604E">
      <w:pPr>
        <w:rPr>
          <w:lang w:val="en-GB" w:eastAsia="ja-JP"/>
        </w:rPr>
      </w:pPr>
    </w:p>
    <w:p w14:paraId="1C676988" w14:textId="0DF9BD7B" w:rsidR="007D53CE" w:rsidRDefault="0027244A" w:rsidP="0027244A">
      <w:pPr>
        <w:pStyle w:val="Heading3"/>
      </w:pPr>
      <w:r>
        <w:t>2.2.2</w:t>
      </w:r>
      <w:r w:rsidR="009406E6">
        <w:tab/>
        <w:t>Configuring PDCCH Monitoring</w:t>
      </w:r>
    </w:p>
    <w:p w14:paraId="1B48015E" w14:textId="77777777" w:rsidR="00927CD8" w:rsidRPr="00927CD8" w:rsidRDefault="00927CD8" w:rsidP="00253CD8">
      <w:pPr>
        <w:rPr>
          <w:lang w:val="en-GB" w:eastAsia="ja-JP"/>
        </w:rPr>
      </w:pPr>
    </w:p>
    <w:p w14:paraId="2900FA51" w14:textId="76042F4D" w:rsidR="00B62A08" w:rsidRDefault="009406E6" w:rsidP="00253CD8">
      <w:pPr>
        <w:rPr>
          <w:lang w:eastAsia="ja-JP"/>
        </w:rPr>
      </w:pPr>
      <w:r>
        <w:rPr>
          <w:lang w:eastAsia="ja-JP"/>
        </w:rPr>
        <w:t>To solve the TA mis-alignment issue; a</w:t>
      </w:r>
      <w:r w:rsidR="00AD1EAB">
        <w:rPr>
          <w:lang w:eastAsia="ja-JP"/>
        </w:rPr>
        <w:t xml:space="preserve"> solution where NW can push the TA would be needed.</w:t>
      </w:r>
      <w:r w:rsidR="00FB7C01">
        <w:rPr>
          <w:lang w:eastAsia="ja-JP"/>
        </w:rPr>
        <w:t xml:space="preserve"> This can be supported by means of MT-SDT procedure or configuring occasional PDCCH monitoring </w:t>
      </w:r>
      <w:r w:rsidR="00F3001F">
        <w:rPr>
          <w:lang w:eastAsia="ja-JP"/>
        </w:rPr>
        <w:t>after UL-SRS transmission</w:t>
      </w:r>
      <w:r w:rsidR="00FB7C01">
        <w:rPr>
          <w:lang w:eastAsia="ja-JP"/>
        </w:rPr>
        <w:t>.</w:t>
      </w:r>
    </w:p>
    <w:p w14:paraId="5F453B43" w14:textId="77777777" w:rsidR="00F3001F" w:rsidRDefault="00F3001F" w:rsidP="00253CD8">
      <w:pPr>
        <w:rPr>
          <w:lang w:eastAsia="ja-JP"/>
        </w:rPr>
      </w:pPr>
    </w:p>
    <w:p w14:paraId="57E6E83D" w14:textId="7E80D5F9" w:rsidR="00891705" w:rsidRDefault="00C81077" w:rsidP="00891705">
      <w:pPr>
        <w:pStyle w:val="IvDInstructiontext"/>
        <w:rPr>
          <w:sz w:val="20"/>
          <w:lang w:val="en-US" w:eastAsia="en-US"/>
        </w:rPr>
      </w:pPr>
      <w:r>
        <w:object w:dxaOrig="11040" w:dyaOrig="2251" w14:anchorId="4C562910">
          <v:shape id="_x0000_i1028" type="#_x0000_t75" style="width:482.25pt;height:98.25pt" o:ole="">
            <v:imagedata r:id="rId19" o:title=""/>
          </v:shape>
          <o:OLEObject Type="Embed" ProgID="Visio.Drawing.15" ShapeID="_x0000_i1028" DrawAspect="Content" ObjectID="_1729030603" r:id="rId20"/>
        </w:object>
      </w:r>
    </w:p>
    <w:p w14:paraId="506856A2" w14:textId="77777777" w:rsidR="00891705" w:rsidRDefault="00891705" w:rsidP="00891705">
      <w:pPr>
        <w:pStyle w:val="IvDInstructiontext"/>
        <w:rPr>
          <w:rStyle w:val="IvDbodytextChar"/>
          <w:rFonts w:cs="Times New Roman"/>
        </w:rPr>
      </w:pPr>
      <w:r>
        <w:rPr>
          <w:rStyle w:val="IvDbodytextChar"/>
          <w:rFonts w:cs="Times New Roman"/>
          <w:i/>
          <w:sz w:val="20"/>
        </w:rPr>
        <w:tab/>
        <w:t>Figure X: Configuring PDCCH Monitoring after UL-SRS Transmission</w:t>
      </w:r>
    </w:p>
    <w:p w14:paraId="2818923D" w14:textId="77777777" w:rsidR="00675148" w:rsidRDefault="00675148" w:rsidP="00D827B8">
      <w:pPr>
        <w:pStyle w:val="Proposal"/>
        <w:numPr>
          <w:ilvl w:val="0"/>
          <w:numId w:val="0"/>
        </w:numPr>
        <w:ind w:left="2421"/>
      </w:pPr>
    </w:p>
    <w:p w14:paraId="481F9E35" w14:textId="77777777" w:rsidR="00340818" w:rsidRDefault="00340818" w:rsidP="00340818">
      <w:pPr>
        <w:pStyle w:val="Proposal"/>
        <w:numPr>
          <w:ilvl w:val="0"/>
          <w:numId w:val="0"/>
        </w:numPr>
        <w:ind w:left="2421"/>
      </w:pPr>
    </w:p>
    <w:p w14:paraId="00053A77" w14:textId="3635D043" w:rsidR="00340818" w:rsidRDefault="00377D51" w:rsidP="00340818">
      <w:pPr>
        <w:pStyle w:val="Proposal"/>
      </w:pPr>
      <w:bookmarkStart w:id="13" w:name="_Toc118446624"/>
      <w:r>
        <w:t>Occasional PD</w:t>
      </w:r>
      <w:r w:rsidR="008D5B5A">
        <w:t>C</w:t>
      </w:r>
      <w:r>
        <w:t>CH monitoring is configured to provide accurate TA to improve positioning accuracy</w:t>
      </w:r>
      <w:r w:rsidR="00194D7B">
        <w:t>.</w:t>
      </w:r>
      <w:bookmarkEnd w:id="13"/>
    </w:p>
    <w:p w14:paraId="7B4075C5" w14:textId="420881FD" w:rsidR="00A40CEC" w:rsidRDefault="00511B78" w:rsidP="00511B78">
      <w:pPr>
        <w:pStyle w:val="Proposal"/>
      </w:pPr>
      <w:bookmarkStart w:id="14" w:name="_Toc118446625"/>
      <w:r>
        <w:t xml:space="preserve">Send an LS to RAN3 asking </w:t>
      </w:r>
      <w:r w:rsidR="00A47EBB">
        <w:t xml:space="preserve">on NW overhead </w:t>
      </w:r>
      <w:r w:rsidR="00935A8B">
        <w:t xml:space="preserve">and signalling </w:t>
      </w:r>
      <w:r w:rsidR="00724697">
        <w:t xml:space="preserve">impacts </w:t>
      </w:r>
      <w:r w:rsidR="00A47EBB">
        <w:t>issue and if it is feasible to transmit UL-SRS</w:t>
      </w:r>
      <w:r w:rsidR="000B2267">
        <w:t xml:space="preserve"> in mu</w:t>
      </w:r>
      <w:r w:rsidR="00495BC1">
        <w:t>l</w:t>
      </w:r>
      <w:r w:rsidR="000B2267">
        <w:t>ti-cell</w:t>
      </w:r>
      <w:r w:rsidR="009D5D37">
        <w:t xml:space="preserve"> during Inactive</w:t>
      </w:r>
      <w:r w:rsidR="00A47EBB">
        <w:t>.</w:t>
      </w:r>
      <w:bookmarkEnd w:id="14"/>
    </w:p>
    <w:p w14:paraId="6D5192E6" w14:textId="5D9D3694" w:rsidR="00511B78" w:rsidRDefault="00983C93" w:rsidP="00A40CEC">
      <w:pPr>
        <w:pStyle w:val="Proposal"/>
        <w:numPr>
          <w:ilvl w:val="1"/>
          <w:numId w:val="3"/>
        </w:numPr>
      </w:pPr>
      <w:bookmarkStart w:id="15" w:name="_Toc118446626"/>
      <w:r>
        <w:t xml:space="preserve">For UL-SRS multi-cell (in a validity area), can we assume </w:t>
      </w:r>
      <w:r w:rsidR="009076BF">
        <w:t>the listening TRPs would always be same</w:t>
      </w:r>
      <w:r w:rsidR="00183E05">
        <w:t>?</w:t>
      </w:r>
      <w:r w:rsidR="00480DC5">
        <w:t xml:space="preserve"> Do</w:t>
      </w:r>
      <w:r w:rsidR="00183E05">
        <w:t>es</w:t>
      </w:r>
      <w:r w:rsidR="00480DC5">
        <w:t xml:space="preserve"> </w:t>
      </w:r>
      <w:r w:rsidR="00183E05">
        <w:t>NW</w:t>
      </w:r>
      <w:r w:rsidR="00480DC5">
        <w:t xml:space="preserve"> need to </w:t>
      </w:r>
      <w:r w:rsidR="008B7531">
        <w:t>over-provision</w:t>
      </w:r>
      <w:r w:rsidR="00716043">
        <w:t xml:space="preserve"> (configure several TRPs where some of them simply </w:t>
      </w:r>
      <w:r w:rsidR="00AD79EA">
        <w:t>must</w:t>
      </w:r>
      <w:r w:rsidR="00716043">
        <w:t xml:space="preserve"> listen even when nothing is heard</w:t>
      </w:r>
      <w:r w:rsidR="00890C02">
        <w:t>”</w:t>
      </w:r>
      <w:r w:rsidR="00AD79EA">
        <w:t>?</w:t>
      </w:r>
      <w:bookmarkEnd w:id="15"/>
    </w:p>
    <w:p w14:paraId="63F1AC40" w14:textId="77777777" w:rsidR="004F071F" w:rsidRDefault="004F071F" w:rsidP="00253CD8">
      <w:pPr>
        <w:rPr>
          <w:lang w:val="en-GB" w:eastAsia="ja-JP"/>
        </w:rPr>
      </w:pPr>
    </w:p>
    <w:p w14:paraId="750D1FAE" w14:textId="507DFB7C" w:rsidR="006618F3" w:rsidRDefault="006618F3" w:rsidP="006618F3">
      <w:pPr>
        <w:pStyle w:val="Proposal"/>
      </w:pPr>
      <w:bookmarkStart w:id="16" w:name="_Toc118446627"/>
      <w:r>
        <w:t>Capture the Observation 1 to 4 in the TR</w:t>
      </w:r>
      <w:r w:rsidR="00A8391A">
        <w:t xml:space="preserve"> as shown in the Annex (Text Proposal for TR)</w:t>
      </w:r>
      <w:r>
        <w:t>.</w:t>
      </w:r>
      <w:bookmarkEnd w:id="16"/>
    </w:p>
    <w:p w14:paraId="31A07DF6" w14:textId="77777777" w:rsidR="006618F3" w:rsidRPr="00511B78" w:rsidRDefault="006618F3" w:rsidP="00253CD8">
      <w:pPr>
        <w:rPr>
          <w:lang w:val="en-GB" w:eastAsia="ja-JP"/>
        </w:rPr>
      </w:pPr>
    </w:p>
    <w:p w14:paraId="124ABF5E" w14:textId="77777777" w:rsidR="00244A2B" w:rsidRDefault="00244A2B" w:rsidP="00244A2B">
      <w:pPr>
        <w:rPr>
          <w:lang w:eastAsia="ja-JP"/>
        </w:rPr>
      </w:pPr>
    </w:p>
    <w:p w14:paraId="041BBFF5" w14:textId="77777777" w:rsidR="00B837C4" w:rsidRPr="008D64B3" w:rsidRDefault="00B837C4" w:rsidP="00B837C4">
      <w:pPr>
        <w:rPr>
          <w:lang w:val="en-GB" w:eastAsia="ja-JP"/>
        </w:rPr>
      </w:pPr>
    </w:p>
    <w:p w14:paraId="49C65C29" w14:textId="774AC2BC" w:rsidR="0045343B" w:rsidRDefault="0045343B" w:rsidP="0045343B">
      <w:pPr>
        <w:pStyle w:val="Heading2"/>
      </w:pPr>
      <w:r>
        <w:t>2.</w:t>
      </w:r>
      <w:r w:rsidR="00B102C9">
        <w:t>3</w:t>
      </w:r>
      <w:r>
        <w:tab/>
      </w:r>
      <w:r w:rsidR="0048452C">
        <w:t>Conclusion on UL-SRS Inactive Mode Tx</w:t>
      </w:r>
    </w:p>
    <w:p w14:paraId="59CA79A5" w14:textId="77777777" w:rsidR="0045343B" w:rsidRDefault="0045343B" w:rsidP="0045343B">
      <w:r>
        <w:t>UL SRS configuration for inactive depends upon several factors such as TA validity timer, RSRP thresholds, TA value and UL power to use for UL SRS Tx. It is beneficial if these configurations are provided as close as possible when UE is released to Inactive from connected mode. If configuration is provided well in advance, it may not be accurate as UE spatial relation or RSRP etc. may have changed.</w:t>
      </w:r>
    </w:p>
    <w:p w14:paraId="47A9863C" w14:textId="77777777" w:rsidR="0045343B" w:rsidRDefault="0045343B" w:rsidP="0045343B"/>
    <w:p w14:paraId="4D8F76BA" w14:textId="78A6CE6C" w:rsidR="0045343B" w:rsidRDefault="0045343B" w:rsidP="0045343B">
      <w:r>
        <w:t>UL SRS configuration is valid for a serving cell. In connected mode the NW is aware of UE’s situation: there are dedicated mode procedures and there is closed loop power control to minimize interference. Hence, even when UE drifts to neighbor cell the positioning may continue as NW may reconfigure the necessary parameters including TA, spatial relations, Tx Power etc. In RRC Inactive mode, it is unclear as how this would be maintained.</w:t>
      </w:r>
      <w:r w:rsidR="004A3D75">
        <w:t xml:space="preserve"> </w:t>
      </w:r>
    </w:p>
    <w:p w14:paraId="5E4659D8" w14:textId="77777777" w:rsidR="004A3D75" w:rsidRDefault="004A3D75" w:rsidP="0045343B"/>
    <w:p w14:paraId="0FFFDC42" w14:textId="1EF51861" w:rsidR="004A3D75" w:rsidRDefault="004A3D75" w:rsidP="0045343B">
      <w:r>
        <w:t>Several new solutions have to be adopted and considering pros/cons we observe below:</w:t>
      </w:r>
    </w:p>
    <w:p w14:paraId="581D9357" w14:textId="77777777" w:rsidR="0045343B" w:rsidRDefault="0045343B" w:rsidP="0045343B"/>
    <w:p w14:paraId="01AA5E88" w14:textId="00D21054" w:rsidR="0045343B" w:rsidRPr="00CE0424" w:rsidRDefault="004A3D75" w:rsidP="0045343B">
      <w:pPr>
        <w:pStyle w:val="Observation"/>
      </w:pPr>
      <w:bookmarkStart w:id="17" w:name="_Toc118446637"/>
      <w:r>
        <w:t>UL-SRS validity across multiple cell</w:t>
      </w:r>
      <w:r w:rsidR="006D664C">
        <w:t>s</w:t>
      </w:r>
      <w:r w:rsidR="005137E5">
        <w:t xml:space="preserve"> is not scalable</w:t>
      </w:r>
      <w:r w:rsidR="005D552D">
        <w:t xml:space="preserve">. Several new </w:t>
      </w:r>
      <w:r w:rsidR="003001CA">
        <w:t>enhancements and complicated solutions must be introduced which will not only increase NW complexity but also UE.</w:t>
      </w:r>
      <w:bookmarkEnd w:id="17"/>
      <w:r w:rsidR="003001CA">
        <w:t xml:space="preserve"> </w:t>
      </w:r>
    </w:p>
    <w:p w14:paraId="7FF9266C" w14:textId="786CCE64" w:rsidR="0045343B" w:rsidRDefault="0045343B" w:rsidP="0045343B">
      <w:pPr>
        <w:pStyle w:val="Proposal"/>
      </w:pPr>
      <w:bookmarkStart w:id="18" w:name="_Toc118446628"/>
      <w:r>
        <w:t>SRS configuration in RRC Inactive mode is not valid</w:t>
      </w:r>
      <w:r w:rsidR="00E903E2">
        <w:t xml:space="preserve"> in</w:t>
      </w:r>
      <w:r>
        <w:t xml:space="preserve"> multiple cell.</w:t>
      </w:r>
      <w:bookmarkEnd w:id="18"/>
    </w:p>
    <w:p w14:paraId="4B9261FF" w14:textId="77777777" w:rsidR="0045343B" w:rsidRPr="0045343B" w:rsidRDefault="0045343B" w:rsidP="00244A2B">
      <w:pPr>
        <w:rPr>
          <w:lang w:val="en-GB" w:eastAsia="ja-JP"/>
        </w:rPr>
      </w:pPr>
    </w:p>
    <w:p w14:paraId="5D4A8E70" w14:textId="44E4DC03" w:rsidR="00B102C9" w:rsidRDefault="00B102C9" w:rsidP="00B102C9">
      <w:pPr>
        <w:pStyle w:val="Heading2"/>
        <w:rPr>
          <w:lang w:val="en-US"/>
        </w:rPr>
      </w:pPr>
      <w:r w:rsidRPr="00354811">
        <w:rPr>
          <w:lang w:val="en-US"/>
        </w:rPr>
        <w:t>2.</w:t>
      </w:r>
      <w:r>
        <w:rPr>
          <w:lang w:val="en-US"/>
        </w:rPr>
        <w:t>4</w:t>
      </w:r>
      <w:r w:rsidRPr="00354811">
        <w:rPr>
          <w:lang w:val="en-US"/>
        </w:rPr>
        <w:tab/>
      </w:r>
      <w:r>
        <w:rPr>
          <w:lang w:val="en-US"/>
        </w:rPr>
        <w:t>Enhanced Power Saving mechanisms</w:t>
      </w:r>
    </w:p>
    <w:p w14:paraId="1047475E" w14:textId="77777777" w:rsidR="00B102C9" w:rsidRDefault="00B102C9" w:rsidP="00B102C9">
      <w:pPr>
        <w:rPr>
          <w:lang w:eastAsia="ja-JP"/>
        </w:rPr>
      </w:pPr>
      <w:r>
        <w:rPr>
          <w:lang w:eastAsia="ja-JP"/>
        </w:rPr>
        <w:t>MICO state or no paging monitoring etc. requires SA2 involvement. There is not much from RAN2 perspective one may do. This should be discussed in SA2. We should note that we are positioning group and not UE power saving group. If any specific power saving such as RRM relaxation etc. needs to be discussed, then it should be separated from Positioning WI.</w:t>
      </w:r>
    </w:p>
    <w:p w14:paraId="19898B1C" w14:textId="77777777" w:rsidR="00B102C9" w:rsidRPr="009B7741" w:rsidRDefault="00B102C9" w:rsidP="00B102C9">
      <w:pPr>
        <w:rPr>
          <w:lang w:eastAsia="ja-JP"/>
        </w:rPr>
      </w:pPr>
    </w:p>
    <w:p w14:paraId="4CAA8039" w14:textId="77777777" w:rsidR="00B102C9" w:rsidRDefault="00B102C9" w:rsidP="00B102C9">
      <w:pPr>
        <w:pStyle w:val="Observation"/>
      </w:pPr>
      <w:bookmarkStart w:id="19" w:name="_Toc118446638"/>
      <w:r>
        <w:t>Positioning WI may not have specific competence in saving UE power. This should be discussed in relevant power saving WI and in SA groups; for example, for granting UE with eDRX, No paging monitoring or MICO state</w:t>
      </w:r>
      <w:bookmarkEnd w:id="19"/>
    </w:p>
    <w:p w14:paraId="4405D662" w14:textId="77777777" w:rsidR="00B102C9" w:rsidRDefault="00B102C9" w:rsidP="00B102C9">
      <w:pPr>
        <w:pStyle w:val="Observation"/>
        <w:numPr>
          <w:ilvl w:val="0"/>
          <w:numId w:val="0"/>
        </w:numPr>
        <w:ind w:left="360"/>
      </w:pPr>
    </w:p>
    <w:p w14:paraId="2EFE58FA" w14:textId="77777777" w:rsidR="00B102C9" w:rsidRDefault="00B102C9" w:rsidP="00B102C9">
      <w:pPr>
        <w:pStyle w:val="Proposal"/>
      </w:pPr>
      <w:bookmarkStart w:id="20" w:name="_Toc118446629"/>
      <w:r>
        <w:t>Non-Positioning procedure related (e.g., communication related; MICO states, RRM relaxation, eDRX cycle) power saving enhancement is not discussed in Positioning WI.</w:t>
      </w:r>
      <w:bookmarkEnd w:id="20"/>
    </w:p>
    <w:p w14:paraId="437131B4" w14:textId="0A1D8D1A" w:rsidR="006C529F" w:rsidRPr="00354811" w:rsidRDefault="006C529F" w:rsidP="0045343B">
      <w:pPr>
        <w:pStyle w:val="Heading2"/>
        <w:rPr>
          <w:lang w:val="en-US"/>
        </w:rPr>
      </w:pPr>
      <w:r w:rsidRPr="00354811">
        <w:rPr>
          <w:lang w:val="en-US"/>
        </w:rPr>
        <w:t>2.</w:t>
      </w:r>
      <w:r w:rsidR="00884E99">
        <w:rPr>
          <w:lang w:val="en-US"/>
        </w:rPr>
        <w:t>5</w:t>
      </w:r>
      <w:r w:rsidRPr="00354811">
        <w:rPr>
          <w:lang w:val="en-US"/>
        </w:rPr>
        <w:tab/>
        <w:t>RRC Idle mode positioning</w:t>
      </w:r>
    </w:p>
    <w:p w14:paraId="053B58B9" w14:textId="4C19ADC4" w:rsidR="006C529F" w:rsidRDefault="003D6889" w:rsidP="006C529F">
      <w:pPr>
        <w:rPr>
          <w:lang w:val="en-GB" w:eastAsia="ja-JP"/>
        </w:rPr>
      </w:pPr>
      <w:r>
        <w:rPr>
          <w:lang w:val="en-GB" w:eastAsia="ja-JP"/>
        </w:rPr>
        <w:t xml:space="preserve">In LTE, for NB-IoT RRC Idle mod positioning is already supported. The UE may receive AD in connected mode and can go to RRC Idle mode and perform the positioning measurements. The </w:t>
      </w:r>
      <w:r w:rsidR="00477EF9">
        <w:rPr>
          <w:lang w:val="en-GB" w:eastAsia="ja-JP"/>
        </w:rPr>
        <w:t>UE would transit to connected mode to provide the positioning measurements</w:t>
      </w:r>
      <w:r w:rsidR="006A7FD4">
        <w:rPr>
          <w:lang w:val="en-GB" w:eastAsia="ja-JP"/>
        </w:rPr>
        <w:t xml:space="preserve">. </w:t>
      </w:r>
    </w:p>
    <w:p w14:paraId="2E45B2EF" w14:textId="77777777" w:rsidR="006A7FD4" w:rsidRDefault="006A7FD4" w:rsidP="006C529F">
      <w:pPr>
        <w:rPr>
          <w:lang w:val="en-GB" w:eastAsia="ja-JP"/>
        </w:rPr>
      </w:pPr>
    </w:p>
    <w:p w14:paraId="08916115" w14:textId="0B2FE2F5" w:rsidR="006A7FD4" w:rsidRDefault="006A7FD4" w:rsidP="006C529F">
      <w:pPr>
        <w:rPr>
          <w:lang w:val="en-GB" w:eastAsia="ja-JP"/>
        </w:rPr>
      </w:pPr>
      <w:r>
        <w:rPr>
          <w:lang w:val="en-GB" w:eastAsia="ja-JP"/>
        </w:rPr>
        <w:t xml:space="preserve">The same principle can be also applied to NR. The power saving </w:t>
      </w:r>
      <w:r w:rsidR="005F2E81">
        <w:rPr>
          <w:lang w:val="en-GB" w:eastAsia="ja-JP"/>
        </w:rPr>
        <w:t>is achieved by means of not being in RRC Connected mode for positioning.</w:t>
      </w:r>
      <w:r w:rsidR="0074726E">
        <w:rPr>
          <w:lang w:val="en-GB" w:eastAsia="ja-JP"/>
        </w:rPr>
        <w:t xml:space="preserve"> Further, the assistance data can also be obtained using posSIB.</w:t>
      </w:r>
    </w:p>
    <w:p w14:paraId="10F6A33B" w14:textId="77777777" w:rsidR="0074726E" w:rsidRDefault="0074726E" w:rsidP="006C529F">
      <w:pPr>
        <w:rPr>
          <w:lang w:val="en-GB" w:eastAsia="ja-JP"/>
        </w:rPr>
      </w:pPr>
    </w:p>
    <w:p w14:paraId="716F34AE" w14:textId="08D6FBAD" w:rsidR="0074726E" w:rsidRPr="00CE0424" w:rsidRDefault="0074726E" w:rsidP="0074726E">
      <w:pPr>
        <w:pStyle w:val="Observation"/>
      </w:pPr>
      <w:bookmarkStart w:id="21" w:name="_Toc118446639"/>
      <w:r>
        <w:t>In RRC Idle mode UE can obtain AD using posSIB and can perform measurement in RRC idle mode to save UE power.</w:t>
      </w:r>
      <w:bookmarkEnd w:id="21"/>
    </w:p>
    <w:p w14:paraId="348210EE" w14:textId="764B49FB" w:rsidR="0074726E" w:rsidRDefault="0074726E" w:rsidP="0074726E">
      <w:pPr>
        <w:pStyle w:val="Proposal"/>
      </w:pPr>
      <w:bookmarkStart w:id="22" w:name="_Toc118446630"/>
      <w:r>
        <w:t xml:space="preserve">Send an LS to RAN1 to </w:t>
      </w:r>
      <w:r w:rsidR="003132A2">
        <w:t>define RSTD measurements for RRC idle mode</w:t>
      </w:r>
      <w:r>
        <w:t>.</w:t>
      </w:r>
      <w:bookmarkEnd w:id="22"/>
    </w:p>
    <w:p w14:paraId="51A64F9D" w14:textId="77777777" w:rsidR="0074726E" w:rsidRDefault="0074726E" w:rsidP="006C529F">
      <w:pPr>
        <w:rPr>
          <w:lang w:val="en-GB" w:eastAsia="ja-JP"/>
        </w:rPr>
      </w:pPr>
    </w:p>
    <w:p w14:paraId="59A09C0F" w14:textId="581D0E6E" w:rsidR="005F2E81" w:rsidRDefault="005F2E81" w:rsidP="006C529F">
      <w:pPr>
        <w:rPr>
          <w:lang w:val="en-GB" w:eastAsia="ja-JP"/>
        </w:rPr>
      </w:pPr>
      <w:r>
        <w:rPr>
          <w:lang w:val="en-GB" w:eastAsia="ja-JP"/>
        </w:rPr>
        <w:t xml:space="preserve">When it comes to measurement reporting; our view is that even if UE was in RRC Inactive the Inactive mode data transfer may not work because of data volume </w:t>
      </w:r>
      <w:r w:rsidR="00961B0E">
        <w:rPr>
          <w:lang w:val="en-GB" w:eastAsia="ja-JP"/>
        </w:rPr>
        <w:t>threshold as positioning measurements are quite big. Hence, in terms of latency and power saving it may in fact be beneficial to transit to connected mode.</w:t>
      </w:r>
    </w:p>
    <w:p w14:paraId="68615683" w14:textId="77777777" w:rsidR="006125FD" w:rsidRDefault="006125FD" w:rsidP="006125FD"/>
    <w:p w14:paraId="630A8F7B" w14:textId="351614E4" w:rsidR="00961B0E" w:rsidRPr="0059453F" w:rsidRDefault="006125FD" w:rsidP="00811605">
      <w:pPr>
        <w:pStyle w:val="Observation"/>
      </w:pPr>
      <w:bookmarkStart w:id="23" w:name="_Toc118446640"/>
      <w:r>
        <w:t>Positioning Measurement reporting in RRC Inactive would be inefficient as it may need subsequent transmission</w:t>
      </w:r>
      <w:r w:rsidR="0059453F">
        <w:t xml:space="preserve"> implying longer duration and prolonged battery consumption. RRC Connected mode can be efficient.</w:t>
      </w:r>
      <w:bookmarkEnd w:id="23"/>
    </w:p>
    <w:p w14:paraId="17EF4ED8" w14:textId="77777777" w:rsidR="001F4F59" w:rsidRPr="0059453F" w:rsidRDefault="001F4F59" w:rsidP="001F4F59">
      <w:pPr>
        <w:pStyle w:val="Observation"/>
        <w:numPr>
          <w:ilvl w:val="0"/>
          <w:numId w:val="0"/>
        </w:numPr>
        <w:ind w:left="360"/>
      </w:pPr>
    </w:p>
    <w:p w14:paraId="7E303EBD" w14:textId="77777777" w:rsidR="00B45815" w:rsidRPr="00B45815" w:rsidRDefault="00B45815" w:rsidP="00B45815">
      <w:pPr>
        <w:rPr>
          <w:lang w:eastAsia="ja-JP"/>
        </w:rPr>
      </w:pPr>
    </w:p>
    <w:p w14:paraId="721F0099" w14:textId="77777777" w:rsidR="00491745" w:rsidRPr="005B1927" w:rsidRDefault="00491745" w:rsidP="005B1927"/>
    <w:p w14:paraId="71F1A6AC" w14:textId="77777777" w:rsidR="00C01F33" w:rsidRPr="00CE0424" w:rsidRDefault="00C01F33" w:rsidP="00CE0424">
      <w:pPr>
        <w:pStyle w:val="Heading1"/>
      </w:pPr>
      <w:r w:rsidRPr="00CE0424">
        <w:t>Conclusion</w:t>
      </w:r>
    </w:p>
    <w:p w14:paraId="5E941895"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407BFED" w14:textId="2BE5250D" w:rsidR="00723412" w:rsidRDefault="006F6582">
      <w:pPr>
        <w:pStyle w:val="TableofFigures"/>
        <w:tabs>
          <w:tab w:val="right" w:leader="dot" w:pos="9629"/>
        </w:tabs>
        <w:rPr>
          <w:rFonts w:asciiTheme="minorHAnsi" w:eastAsiaTheme="minorEastAsia" w:hAnsiTheme="minorHAnsi" w:cstheme="minorBidi"/>
          <w:b w:val="0"/>
          <w:noProof/>
          <w:sz w:val="22"/>
          <w:szCs w:val="22"/>
          <w:lang/>
        </w:rPr>
      </w:pPr>
      <w:r>
        <w:rPr>
          <w:b w:val="0"/>
          <w:bCs/>
        </w:rPr>
        <w:fldChar w:fldCharType="begin"/>
      </w:r>
      <w:r>
        <w:rPr>
          <w:b w:val="0"/>
          <w:bCs/>
        </w:rPr>
        <w:instrText xml:space="preserve"> TOC \f O \n \h \z \t "Observation" \c </w:instrText>
      </w:r>
      <w:r>
        <w:rPr>
          <w:b w:val="0"/>
          <w:bCs/>
        </w:rPr>
        <w:fldChar w:fldCharType="separate"/>
      </w:r>
      <w:hyperlink w:anchor="_Toc118446632" w:history="1">
        <w:r w:rsidR="00723412" w:rsidRPr="00CB3FEA">
          <w:rPr>
            <w:rStyle w:val="Hyperlink"/>
            <w:noProof/>
          </w:rPr>
          <w:t>Observation 1</w:t>
        </w:r>
        <w:r w:rsidR="00723412">
          <w:rPr>
            <w:rFonts w:asciiTheme="minorHAnsi" w:eastAsiaTheme="minorEastAsia" w:hAnsiTheme="minorHAnsi" w:cstheme="minorBidi"/>
            <w:b w:val="0"/>
            <w:noProof/>
            <w:sz w:val="22"/>
            <w:szCs w:val="22"/>
            <w:lang/>
          </w:rPr>
          <w:tab/>
        </w:r>
        <w:r w:rsidR="00723412" w:rsidRPr="00CB3FEA">
          <w:rPr>
            <w:rStyle w:val="Hyperlink"/>
            <w:noProof/>
          </w:rPr>
          <w:t>To minimize Interference, UL-SRS Resource pool have to be maintained and this would   lead to capacity loss.</w:t>
        </w:r>
      </w:hyperlink>
    </w:p>
    <w:p w14:paraId="785AC91A" w14:textId="5E2134C6" w:rsidR="00723412" w:rsidRDefault="00723412">
      <w:pPr>
        <w:pStyle w:val="TableofFigures"/>
        <w:tabs>
          <w:tab w:val="right" w:leader="dot" w:pos="9629"/>
        </w:tabs>
        <w:rPr>
          <w:rFonts w:asciiTheme="minorHAnsi" w:eastAsiaTheme="minorEastAsia" w:hAnsiTheme="minorHAnsi" w:cstheme="minorBidi"/>
          <w:b w:val="0"/>
          <w:noProof/>
          <w:sz w:val="22"/>
          <w:szCs w:val="22"/>
          <w:lang/>
        </w:rPr>
      </w:pPr>
      <w:hyperlink w:anchor="_Toc118446633" w:history="1">
        <w:r w:rsidRPr="00CB3FEA">
          <w:rPr>
            <w:rStyle w:val="Hyperlink"/>
            <w:noProof/>
          </w:rPr>
          <w:t>Observation 2</w:t>
        </w:r>
        <w:r>
          <w:rPr>
            <w:rFonts w:asciiTheme="minorHAnsi" w:eastAsiaTheme="minorEastAsia" w:hAnsiTheme="minorHAnsi" w:cstheme="minorBidi"/>
            <w:b w:val="0"/>
            <w:noProof/>
            <w:sz w:val="22"/>
            <w:szCs w:val="22"/>
            <w:lang/>
          </w:rPr>
          <w:tab/>
        </w:r>
        <w:r w:rsidRPr="00CB3FEA">
          <w:rPr>
            <w:rStyle w:val="Hyperlink"/>
            <w:noProof/>
          </w:rPr>
          <w:t>UL-SRS Resource pool would not only require reserving time/frequency resource but also other resource such as sequence ID.</w:t>
        </w:r>
      </w:hyperlink>
    </w:p>
    <w:p w14:paraId="4DE1DAC3" w14:textId="0433254A" w:rsidR="00723412" w:rsidRDefault="00723412">
      <w:pPr>
        <w:pStyle w:val="TableofFigures"/>
        <w:tabs>
          <w:tab w:val="right" w:leader="dot" w:pos="9629"/>
        </w:tabs>
        <w:rPr>
          <w:rFonts w:asciiTheme="minorHAnsi" w:eastAsiaTheme="minorEastAsia" w:hAnsiTheme="minorHAnsi" w:cstheme="minorBidi"/>
          <w:b w:val="0"/>
          <w:noProof/>
          <w:sz w:val="22"/>
          <w:szCs w:val="22"/>
          <w:lang/>
        </w:rPr>
      </w:pPr>
      <w:hyperlink w:anchor="_Toc118446634" w:history="1">
        <w:r w:rsidRPr="00CB3FEA">
          <w:rPr>
            <w:rStyle w:val="Hyperlink"/>
            <w:noProof/>
          </w:rPr>
          <w:t>Observation 3</w:t>
        </w:r>
        <w:r>
          <w:rPr>
            <w:rFonts w:asciiTheme="minorHAnsi" w:eastAsiaTheme="minorEastAsia" w:hAnsiTheme="minorHAnsi" w:cstheme="minorBidi"/>
            <w:b w:val="0"/>
            <w:noProof/>
            <w:sz w:val="22"/>
            <w:szCs w:val="22"/>
            <w:lang/>
          </w:rPr>
          <w:tab/>
        </w:r>
        <w:r w:rsidRPr="00CB3FEA">
          <w:rPr>
            <w:rStyle w:val="Hyperlink"/>
            <w:noProof/>
          </w:rPr>
          <w:t>Wrong TA leads to accuracy degradation. Preamble based TA update would lead to large positioning error. The objective however is High Accuracy.</w:t>
        </w:r>
      </w:hyperlink>
    </w:p>
    <w:p w14:paraId="6C924F77" w14:textId="226DDE88" w:rsidR="00723412" w:rsidRDefault="00723412">
      <w:pPr>
        <w:pStyle w:val="TableofFigures"/>
        <w:tabs>
          <w:tab w:val="right" w:leader="dot" w:pos="9629"/>
        </w:tabs>
        <w:rPr>
          <w:rFonts w:asciiTheme="minorHAnsi" w:eastAsiaTheme="minorEastAsia" w:hAnsiTheme="minorHAnsi" w:cstheme="minorBidi"/>
          <w:b w:val="0"/>
          <w:noProof/>
          <w:sz w:val="22"/>
          <w:szCs w:val="22"/>
          <w:lang/>
        </w:rPr>
      </w:pPr>
      <w:hyperlink w:anchor="_Toc118446635" w:history="1">
        <w:r w:rsidRPr="00CB3FEA">
          <w:rPr>
            <w:rStyle w:val="Hyperlink"/>
            <w:noProof/>
          </w:rPr>
          <w:t>Observation 4</w:t>
        </w:r>
        <w:r>
          <w:rPr>
            <w:rFonts w:asciiTheme="minorHAnsi" w:eastAsiaTheme="minorEastAsia" w:hAnsiTheme="minorHAnsi" w:cstheme="minorBidi"/>
            <w:b w:val="0"/>
            <w:noProof/>
            <w:sz w:val="22"/>
            <w:szCs w:val="22"/>
            <w:lang/>
          </w:rPr>
          <w:tab/>
        </w:r>
        <w:r w:rsidRPr="00CB3FEA">
          <w:rPr>
            <w:rStyle w:val="Hyperlink"/>
            <w:noProof/>
          </w:rPr>
          <w:t>As UE may pop up anywhere in the configured multiple cell area with UL-SRS Tx, it is not possible to know in which gNBs/TRPs the UE would finally resume in within the configured multiple UL SRS Tx area. Hence, over-provisioning of TRPs may have to be done where some of the TRPs must keep on listening even when nothing is heard. This leads to extra processing and signalling costs.</w:t>
        </w:r>
      </w:hyperlink>
    </w:p>
    <w:p w14:paraId="43FF8643" w14:textId="261AC45D" w:rsidR="00723412" w:rsidRDefault="00723412">
      <w:pPr>
        <w:pStyle w:val="TableofFigures"/>
        <w:tabs>
          <w:tab w:val="right" w:leader="dot" w:pos="9629"/>
        </w:tabs>
        <w:rPr>
          <w:rFonts w:asciiTheme="minorHAnsi" w:eastAsiaTheme="minorEastAsia" w:hAnsiTheme="minorHAnsi" w:cstheme="minorBidi"/>
          <w:b w:val="0"/>
          <w:noProof/>
          <w:sz w:val="22"/>
          <w:szCs w:val="22"/>
          <w:lang/>
        </w:rPr>
      </w:pPr>
      <w:hyperlink w:anchor="_Toc118446636" w:history="1">
        <w:r w:rsidRPr="00CB3FEA">
          <w:rPr>
            <w:rStyle w:val="Hyperlink"/>
            <w:noProof/>
          </w:rPr>
          <w:t>Observation 5</w:t>
        </w:r>
        <w:r>
          <w:rPr>
            <w:rFonts w:asciiTheme="minorHAnsi" w:eastAsiaTheme="minorEastAsia" w:hAnsiTheme="minorHAnsi" w:cstheme="minorBidi"/>
            <w:b w:val="0"/>
            <w:noProof/>
            <w:sz w:val="22"/>
            <w:szCs w:val="22"/>
            <w:lang/>
          </w:rPr>
          <w:tab/>
        </w:r>
        <w:r w:rsidRPr="00CB3FEA">
          <w:rPr>
            <w:rStyle w:val="Hyperlink"/>
            <w:noProof/>
          </w:rPr>
          <w:t>UL-SRS transmission across multiple cells would cause NW overhead and interference. In order to resolve these issues, it may be desired that each UE has UE specific reference signal and listening nodes are able to identify which UE has transmitted without requiring dynamic NRPPa signaling. Hence, some co-ordination and UE specific UL-SRS transmission is desired.</w:t>
        </w:r>
      </w:hyperlink>
    </w:p>
    <w:p w14:paraId="3CCE7FE6" w14:textId="527CEDB3" w:rsidR="00723412" w:rsidRDefault="00723412">
      <w:pPr>
        <w:pStyle w:val="TableofFigures"/>
        <w:tabs>
          <w:tab w:val="right" w:leader="dot" w:pos="9629"/>
        </w:tabs>
        <w:rPr>
          <w:rFonts w:asciiTheme="minorHAnsi" w:eastAsiaTheme="minorEastAsia" w:hAnsiTheme="minorHAnsi" w:cstheme="minorBidi"/>
          <w:b w:val="0"/>
          <w:noProof/>
          <w:sz w:val="22"/>
          <w:szCs w:val="22"/>
          <w:lang/>
        </w:rPr>
      </w:pPr>
      <w:hyperlink w:anchor="_Toc118446637" w:history="1">
        <w:r w:rsidRPr="00CB3FEA">
          <w:rPr>
            <w:rStyle w:val="Hyperlink"/>
            <w:noProof/>
          </w:rPr>
          <w:t>Observation 6</w:t>
        </w:r>
        <w:r>
          <w:rPr>
            <w:rFonts w:asciiTheme="minorHAnsi" w:eastAsiaTheme="minorEastAsia" w:hAnsiTheme="minorHAnsi" w:cstheme="minorBidi"/>
            <w:b w:val="0"/>
            <w:noProof/>
            <w:sz w:val="22"/>
            <w:szCs w:val="22"/>
            <w:lang/>
          </w:rPr>
          <w:tab/>
        </w:r>
        <w:r w:rsidRPr="00CB3FEA">
          <w:rPr>
            <w:rStyle w:val="Hyperlink"/>
            <w:noProof/>
          </w:rPr>
          <w:t>UL-SRS validity across multiple cells is not scalable. Several new enhancements and complicated solutions must be introduced which will not only increase NW complexity but also UE.</w:t>
        </w:r>
      </w:hyperlink>
    </w:p>
    <w:p w14:paraId="590D5FF0" w14:textId="2FAA1640" w:rsidR="00723412" w:rsidRDefault="00723412">
      <w:pPr>
        <w:pStyle w:val="TableofFigures"/>
        <w:tabs>
          <w:tab w:val="right" w:leader="dot" w:pos="9629"/>
        </w:tabs>
        <w:rPr>
          <w:rFonts w:asciiTheme="minorHAnsi" w:eastAsiaTheme="minorEastAsia" w:hAnsiTheme="minorHAnsi" w:cstheme="minorBidi"/>
          <w:b w:val="0"/>
          <w:noProof/>
          <w:sz w:val="22"/>
          <w:szCs w:val="22"/>
          <w:lang/>
        </w:rPr>
      </w:pPr>
      <w:hyperlink w:anchor="_Toc118446638" w:history="1">
        <w:r w:rsidRPr="00CB3FEA">
          <w:rPr>
            <w:rStyle w:val="Hyperlink"/>
            <w:noProof/>
          </w:rPr>
          <w:t>Observation 7</w:t>
        </w:r>
        <w:r>
          <w:rPr>
            <w:rFonts w:asciiTheme="minorHAnsi" w:eastAsiaTheme="minorEastAsia" w:hAnsiTheme="minorHAnsi" w:cstheme="minorBidi"/>
            <w:b w:val="0"/>
            <w:noProof/>
            <w:sz w:val="22"/>
            <w:szCs w:val="22"/>
            <w:lang/>
          </w:rPr>
          <w:tab/>
        </w:r>
        <w:r w:rsidRPr="00CB3FEA">
          <w:rPr>
            <w:rStyle w:val="Hyperlink"/>
            <w:noProof/>
          </w:rPr>
          <w:t>Positioning WI may not have specific competence in saving UE power. This should be discussed in relevant power saving WI and in SA groups; for example, for granting UE with eDRX, No paging monitoring or MICO state</w:t>
        </w:r>
      </w:hyperlink>
    </w:p>
    <w:p w14:paraId="71265BAB" w14:textId="2EACE3B4" w:rsidR="00723412" w:rsidRDefault="00723412">
      <w:pPr>
        <w:pStyle w:val="TableofFigures"/>
        <w:tabs>
          <w:tab w:val="right" w:leader="dot" w:pos="9629"/>
        </w:tabs>
        <w:rPr>
          <w:rFonts w:asciiTheme="minorHAnsi" w:eastAsiaTheme="minorEastAsia" w:hAnsiTheme="minorHAnsi" w:cstheme="minorBidi"/>
          <w:b w:val="0"/>
          <w:noProof/>
          <w:sz w:val="22"/>
          <w:szCs w:val="22"/>
          <w:lang/>
        </w:rPr>
      </w:pPr>
      <w:hyperlink w:anchor="_Toc118446639" w:history="1">
        <w:r w:rsidRPr="00CB3FEA">
          <w:rPr>
            <w:rStyle w:val="Hyperlink"/>
            <w:noProof/>
          </w:rPr>
          <w:t>Observation 8</w:t>
        </w:r>
        <w:r>
          <w:rPr>
            <w:rFonts w:asciiTheme="minorHAnsi" w:eastAsiaTheme="minorEastAsia" w:hAnsiTheme="minorHAnsi" w:cstheme="minorBidi"/>
            <w:b w:val="0"/>
            <w:noProof/>
            <w:sz w:val="22"/>
            <w:szCs w:val="22"/>
            <w:lang/>
          </w:rPr>
          <w:tab/>
        </w:r>
        <w:r w:rsidRPr="00CB3FEA">
          <w:rPr>
            <w:rStyle w:val="Hyperlink"/>
            <w:noProof/>
          </w:rPr>
          <w:t>In RRC Idle mode UE can obtain AD using posSIB and can perform measurement in RRC idle mode to save UE power.</w:t>
        </w:r>
      </w:hyperlink>
    </w:p>
    <w:p w14:paraId="67979505" w14:textId="056BAB2F" w:rsidR="00723412" w:rsidRDefault="00723412">
      <w:pPr>
        <w:pStyle w:val="TableofFigures"/>
        <w:tabs>
          <w:tab w:val="right" w:leader="dot" w:pos="9629"/>
        </w:tabs>
        <w:rPr>
          <w:rFonts w:asciiTheme="minorHAnsi" w:eastAsiaTheme="minorEastAsia" w:hAnsiTheme="minorHAnsi" w:cstheme="minorBidi"/>
          <w:b w:val="0"/>
          <w:noProof/>
          <w:sz w:val="22"/>
          <w:szCs w:val="22"/>
          <w:lang/>
        </w:rPr>
      </w:pPr>
      <w:hyperlink w:anchor="_Toc118446640" w:history="1">
        <w:r w:rsidRPr="00CB3FEA">
          <w:rPr>
            <w:rStyle w:val="Hyperlink"/>
            <w:noProof/>
          </w:rPr>
          <w:t>Observation 9</w:t>
        </w:r>
        <w:r>
          <w:rPr>
            <w:rFonts w:asciiTheme="minorHAnsi" w:eastAsiaTheme="minorEastAsia" w:hAnsiTheme="minorHAnsi" w:cstheme="minorBidi"/>
            <w:b w:val="0"/>
            <w:noProof/>
            <w:sz w:val="22"/>
            <w:szCs w:val="22"/>
            <w:lang/>
          </w:rPr>
          <w:tab/>
        </w:r>
        <w:r w:rsidRPr="00CB3FEA">
          <w:rPr>
            <w:rStyle w:val="Hyperlink"/>
            <w:noProof/>
          </w:rPr>
          <w:t>Positioning Measurement reporting in RRC Inactive would be inefficient as it may need subsequent transmission implying longer duration and prolonged battery consumption. RRC Connected mode can be efficient.</w:t>
        </w:r>
      </w:hyperlink>
    </w:p>
    <w:p w14:paraId="3D3CE238" w14:textId="31281478" w:rsidR="00723412" w:rsidRDefault="00723412">
      <w:pPr>
        <w:pStyle w:val="TableofFigures"/>
        <w:tabs>
          <w:tab w:val="right" w:leader="dot" w:pos="9629"/>
        </w:tabs>
        <w:rPr>
          <w:rFonts w:asciiTheme="minorHAnsi" w:eastAsiaTheme="minorEastAsia" w:hAnsiTheme="minorHAnsi" w:cstheme="minorBidi"/>
          <w:b w:val="0"/>
          <w:noProof/>
          <w:sz w:val="22"/>
          <w:szCs w:val="22"/>
          <w:lang/>
        </w:rPr>
      </w:pPr>
      <w:hyperlink w:anchor="_Toc118446641" w:history="1">
        <w:r w:rsidRPr="00CB3FEA">
          <w:rPr>
            <w:rStyle w:val="Hyperlink"/>
            <w:rFonts w:ascii="Symbol" w:hAnsi="Symbol"/>
            <w:noProof/>
          </w:rPr>
          <w:t></w:t>
        </w:r>
        <w:r>
          <w:rPr>
            <w:rFonts w:asciiTheme="minorHAnsi" w:eastAsiaTheme="minorEastAsia" w:hAnsiTheme="minorHAnsi" w:cstheme="minorBidi"/>
            <w:b w:val="0"/>
            <w:noProof/>
            <w:sz w:val="22"/>
            <w:szCs w:val="22"/>
            <w:lang/>
          </w:rPr>
          <w:tab/>
        </w:r>
        <w:r w:rsidRPr="00CB3FEA">
          <w:rPr>
            <w:rStyle w:val="Hyperlink"/>
            <w:noProof/>
          </w:rPr>
          <w:t>UL-SRS Resource pool would not only require reserving time/frequency resource but also other resource such as sequence ID.</w:t>
        </w:r>
      </w:hyperlink>
    </w:p>
    <w:p w14:paraId="63BF4C6B" w14:textId="20B530D5" w:rsidR="00723412" w:rsidRDefault="00723412">
      <w:pPr>
        <w:pStyle w:val="TableofFigures"/>
        <w:tabs>
          <w:tab w:val="right" w:leader="dot" w:pos="9629"/>
        </w:tabs>
        <w:rPr>
          <w:rFonts w:asciiTheme="minorHAnsi" w:eastAsiaTheme="minorEastAsia" w:hAnsiTheme="minorHAnsi" w:cstheme="minorBidi"/>
          <w:b w:val="0"/>
          <w:noProof/>
          <w:sz w:val="22"/>
          <w:szCs w:val="22"/>
          <w:lang/>
        </w:rPr>
      </w:pPr>
      <w:hyperlink w:anchor="_Toc118446642" w:history="1">
        <w:r w:rsidRPr="00CB3FEA">
          <w:rPr>
            <w:rStyle w:val="Hyperlink"/>
            <w:rFonts w:ascii="Symbol" w:hAnsi="Symbol"/>
            <w:noProof/>
          </w:rPr>
          <w:t></w:t>
        </w:r>
        <w:r>
          <w:rPr>
            <w:rFonts w:asciiTheme="minorHAnsi" w:eastAsiaTheme="minorEastAsia" w:hAnsiTheme="minorHAnsi" w:cstheme="minorBidi"/>
            <w:b w:val="0"/>
            <w:noProof/>
            <w:sz w:val="22"/>
            <w:szCs w:val="22"/>
            <w:lang/>
          </w:rPr>
          <w:tab/>
        </w:r>
        <w:r w:rsidRPr="00CB3FEA">
          <w:rPr>
            <w:rStyle w:val="Hyperlink"/>
            <w:noProof/>
          </w:rPr>
          <w:t>Wrong TA leads to accuracy degradation. Preamble based TA update would lead to large positioning error. The objective however is High Accuracy</w:t>
        </w:r>
      </w:hyperlink>
    </w:p>
    <w:p w14:paraId="3CE3890D" w14:textId="5CF6F451" w:rsidR="00723412" w:rsidRDefault="00723412">
      <w:pPr>
        <w:pStyle w:val="TableofFigures"/>
        <w:tabs>
          <w:tab w:val="right" w:leader="dot" w:pos="9629"/>
        </w:tabs>
        <w:rPr>
          <w:rFonts w:asciiTheme="minorHAnsi" w:eastAsiaTheme="minorEastAsia" w:hAnsiTheme="minorHAnsi" w:cstheme="minorBidi"/>
          <w:b w:val="0"/>
          <w:noProof/>
          <w:sz w:val="22"/>
          <w:szCs w:val="22"/>
          <w:lang/>
        </w:rPr>
      </w:pPr>
      <w:hyperlink w:anchor="_Toc118446643" w:history="1">
        <w:r w:rsidRPr="00CB3FEA">
          <w:rPr>
            <w:rStyle w:val="Hyperlink"/>
            <w:rFonts w:ascii="Symbol" w:hAnsi="Symbol"/>
            <w:noProof/>
          </w:rPr>
          <w:t></w:t>
        </w:r>
        <w:r>
          <w:rPr>
            <w:rFonts w:asciiTheme="minorHAnsi" w:eastAsiaTheme="minorEastAsia" w:hAnsiTheme="minorHAnsi" w:cstheme="minorBidi"/>
            <w:b w:val="0"/>
            <w:noProof/>
            <w:sz w:val="22"/>
            <w:szCs w:val="22"/>
            <w:lang/>
          </w:rPr>
          <w:tab/>
        </w:r>
        <w:r w:rsidRPr="00CB3FEA">
          <w:rPr>
            <w:rStyle w:val="Hyperlink"/>
            <w:noProof/>
          </w:rPr>
          <w:t>To enable multi-cell SRS; NW may have to over-provision (configure several) TRPs where some of them must listen even when nothing is heard.</w:t>
        </w:r>
      </w:hyperlink>
    </w:p>
    <w:p w14:paraId="000D8BF2" w14:textId="04388596" w:rsidR="00723412" w:rsidRDefault="00723412">
      <w:pPr>
        <w:pStyle w:val="TableofFigures"/>
        <w:tabs>
          <w:tab w:val="right" w:leader="dot" w:pos="9629"/>
        </w:tabs>
        <w:rPr>
          <w:rFonts w:asciiTheme="minorHAnsi" w:eastAsiaTheme="minorEastAsia" w:hAnsiTheme="minorHAnsi" w:cstheme="minorBidi"/>
          <w:b w:val="0"/>
          <w:noProof/>
          <w:sz w:val="22"/>
          <w:szCs w:val="22"/>
          <w:lang/>
        </w:rPr>
      </w:pPr>
      <w:hyperlink w:anchor="_Toc118446644" w:history="1">
        <w:r w:rsidRPr="00CB3FEA">
          <w:rPr>
            <w:rStyle w:val="Hyperlink"/>
            <w:noProof/>
          </w:rPr>
          <w:t>UL-SRS validity across multiple cells is not scalable. Several new enhancements and complicated solutions must be introduced which will not only increase NW complexity but also UE.</w:t>
        </w:r>
      </w:hyperlink>
    </w:p>
    <w:p w14:paraId="22BE7CB0" w14:textId="760D7831" w:rsidR="00723412" w:rsidRDefault="00723412">
      <w:pPr>
        <w:pStyle w:val="TableofFigures"/>
        <w:tabs>
          <w:tab w:val="right" w:leader="dot" w:pos="9629"/>
        </w:tabs>
        <w:rPr>
          <w:rFonts w:asciiTheme="minorHAnsi" w:eastAsiaTheme="minorEastAsia" w:hAnsiTheme="minorHAnsi" w:cstheme="minorBidi"/>
          <w:b w:val="0"/>
          <w:noProof/>
          <w:sz w:val="22"/>
          <w:szCs w:val="22"/>
          <w:lang/>
        </w:rPr>
      </w:pPr>
      <w:hyperlink w:anchor="_Toc118446645" w:history="1">
        <w:r w:rsidRPr="00CB3FEA">
          <w:rPr>
            <w:rStyle w:val="Hyperlink"/>
            <w:noProof/>
          </w:rPr>
          <w:t>Hence, Multi-Cell UL-SRS in RRC Inactive mode is not recommended for normative work.</w:t>
        </w:r>
      </w:hyperlink>
    </w:p>
    <w:p w14:paraId="30FF1D3F" w14:textId="5079B3D1" w:rsidR="006E1C82" w:rsidRDefault="006F6582" w:rsidP="008E065E">
      <w:pPr>
        <w:pStyle w:val="BodyText"/>
        <w:rPr>
          <w:b/>
          <w:bCs/>
        </w:rPr>
      </w:pPr>
      <w:r>
        <w:rPr>
          <w:b/>
          <w:bCs/>
        </w:rPr>
        <w:fldChar w:fldCharType="end"/>
      </w:r>
    </w:p>
    <w:p w14:paraId="4611D79F" w14:textId="77777777" w:rsidR="006E1C82" w:rsidRDefault="006E1C82" w:rsidP="008E065E">
      <w:pPr>
        <w:pStyle w:val="BodyText"/>
        <w:rPr>
          <w:b/>
          <w:bCs/>
        </w:rPr>
      </w:pPr>
    </w:p>
    <w:p w14:paraId="3589D185"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0C02695" w14:textId="6253CF52" w:rsidR="00723412" w:rsidRDefault="006E1C82">
      <w:pPr>
        <w:pStyle w:val="TableofFigures"/>
        <w:tabs>
          <w:tab w:val="right" w:leader="dot" w:pos="9629"/>
        </w:tabs>
        <w:rPr>
          <w:rFonts w:asciiTheme="minorHAnsi" w:eastAsiaTheme="minorEastAsia" w:hAnsiTheme="minorHAnsi" w:cstheme="minorBidi"/>
          <w:b w:val="0"/>
          <w:noProof/>
          <w:sz w:val="22"/>
          <w:szCs w:val="22"/>
          <w:lang/>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8446618" w:history="1">
        <w:r w:rsidR="00723412" w:rsidRPr="003E52DE">
          <w:rPr>
            <w:rStyle w:val="Hyperlink"/>
            <w:noProof/>
          </w:rPr>
          <w:t>Proposal 1</w:t>
        </w:r>
        <w:r w:rsidR="00723412">
          <w:rPr>
            <w:rFonts w:asciiTheme="minorHAnsi" w:eastAsiaTheme="minorEastAsia" w:hAnsiTheme="minorHAnsi" w:cstheme="minorBidi"/>
            <w:b w:val="0"/>
            <w:noProof/>
            <w:sz w:val="22"/>
            <w:szCs w:val="22"/>
            <w:lang/>
          </w:rPr>
          <w:tab/>
        </w:r>
        <w:r w:rsidR="00723412" w:rsidRPr="003E52DE">
          <w:rPr>
            <w:rStyle w:val="Hyperlink"/>
            <w:noProof/>
          </w:rPr>
          <w:t>Capture in TR.</w:t>
        </w:r>
      </w:hyperlink>
    </w:p>
    <w:p w14:paraId="5694EF3B" w14:textId="34F93A90" w:rsidR="00723412" w:rsidRDefault="00723412">
      <w:pPr>
        <w:pStyle w:val="TableofFigures"/>
        <w:tabs>
          <w:tab w:val="right" w:leader="dot" w:pos="9629"/>
        </w:tabs>
        <w:rPr>
          <w:rFonts w:asciiTheme="minorHAnsi" w:eastAsiaTheme="minorEastAsia" w:hAnsiTheme="minorHAnsi" w:cstheme="minorBidi"/>
          <w:b w:val="0"/>
          <w:noProof/>
          <w:sz w:val="22"/>
          <w:szCs w:val="22"/>
          <w:lang/>
        </w:rPr>
      </w:pPr>
      <w:hyperlink w:anchor="_Toc118446619" w:history="1">
        <w:r w:rsidRPr="003E52DE">
          <w:rPr>
            <w:rStyle w:val="Hyperlink"/>
            <w:rFonts w:ascii="Symbol" w:hAnsi="Symbol"/>
            <w:noProof/>
          </w:rPr>
          <w:t></w:t>
        </w:r>
        <w:r>
          <w:rPr>
            <w:rFonts w:asciiTheme="minorHAnsi" w:eastAsiaTheme="minorEastAsia" w:hAnsiTheme="minorHAnsi" w:cstheme="minorBidi"/>
            <w:b w:val="0"/>
            <w:noProof/>
            <w:sz w:val="22"/>
            <w:szCs w:val="22"/>
            <w:lang/>
          </w:rPr>
          <w:tab/>
        </w:r>
        <w:r w:rsidRPr="003E52DE">
          <w:rPr>
            <w:rStyle w:val="Hyperlink"/>
            <w:noProof/>
          </w:rPr>
          <w:t>To minimize Interference, UL-SRS Resource pool would have to be maintained and this leads to capacity loss. IIOT requires solution which can be scaled.</w:t>
        </w:r>
      </w:hyperlink>
    </w:p>
    <w:p w14:paraId="2AAA80C1" w14:textId="70B1069B" w:rsidR="00723412" w:rsidRDefault="00723412">
      <w:pPr>
        <w:pStyle w:val="TableofFigures"/>
        <w:tabs>
          <w:tab w:val="right" w:leader="dot" w:pos="9629"/>
        </w:tabs>
        <w:rPr>
          <w:rFonts w:asciiTheme="minorHAnsi" w:eastAsiaTheme="minorEastAsia" w:hAnsiTheme="minorHAnsi" w:cstheme="minorBidi"/>
          <w:b w:val="0"/>
          <w:noProof/>
          <w:sz w:val="22"/>
          <w:szCs w:val="22"/>
          <w:lang/>
        </w:rPr>
      </w:pPr>
      <w:hyperlink w:anchor="_Toc118446620" w:history="1">
        <w:r w:rsidRPr="003E52DE">
          <w:rPr>
            <w:rStyle w:val="Hyperlink"/>
            <w:rFonts w:ascii="Symbol" w:hAnsi="Symbol"/>
            <w:noProof/>
          </w:rPr>
          <w:t></w:t>
        </w:r>
        <w:r>
          <w:rPr>
            <w:rFonts w:asciiTheme="minorHAnsi" w:eastAsiaTheme="minorEastAsia" w:hAnsiTheme="minorHAnsi" w:cstheme="minorBidi"/>
            <w:b w:val="0"/>
            <w:noProof/>
            <w:sz w:val="22"/>
            <w:szCs w:val="22"/>
            <w:lang/>
          </w:rPr>
          <w:tab/>
        </w:r>
        <w:r w:rsidRPr="003E52DE">
          <w:rPr>
            <w:rStyle w:val="Hyperlink"/>
            <w:noProof/>
          </w:rPr>
          <w:t>UL-SRS Resource pool would not only require reserving time/frequency resource but also other resource such as sequence ID.</w:t>
        </w:r>
      </w:hyperlink>
    </w:p>
    <w:p w14:paraId="6A1A292D" w14:textId="7A4F0994" w:rsidR="00723412" w:rsidRDefault="00723412">
      <w:pPr>
        <w:pStyle w:val="TableofFigures"/>
        <w:tabs>
          <w:tab w:val="right" w:leader="dot" w:pos="9629"/>
        </w:tabs>
        <w:rPr>
          <w:rFonts w:asciiTheme="minorHAnsi" w:eastAsiaTheme="minorEastAsia" w:hAnsiTheme="minorHAnsi" w:cstheme="minorBidi"/>
          <w:b w:val="0"/>
          <w:noProof/>
          <w:sz w:val="22"/>
          <w:szCs w:val="22"/>
          <w:lang/>
        </w:rPr>
      </w:pPr>
      <w:hyperlink w:anchor="_Toc118446621" w:history="1">
        <w:r w:rsidRPr="003E52DE">
          <w:rPr>
            <w:rStyle w:val="Hyperlink"/>
            <w:rFonts w:ascii="Symbol" w:hAnsi="Symbol"/>
            <w:noProof/>
          </w:rPr>
          <w:t></w:t>
        </w:r>
        <w:r>
          <w:rPr>
            <w:rFonts w:asciiTheme="minorHAnsi" w:eastAsiaTheme="minorEastAsia" w:hAnsiTheme="minorHAnsi" w:cstheme="minorBidi"/>
            <w:b w:val="0"/>
            <w:noProof/>
            <w:sz w:val="22"/>
            <w:szCs w:val="22"/>
            <w:lang/>
          </w:rPr>
          <w:tab/>
        </w:r>
        <w:r w:rsidRPr="003E52DE">
          <w:rPr>
            <w:rStyle w:val="Hyperlink"/>
            <w:noProof/>
          </w:rPr>
          <w:t>Wrong TA leads to accuracy degradation. Preamble based TA update would lead to large positioning error. The objective however is High Accuracy</w:t>
        </w:r>
      </w:hyperlink>
    </w:p>
    <w:p w14:paraId="08AAA4FA" w14:textId="46A299B4" w:rsidR="00723412" w:rsidRDefault="00723412">
      <w:pPr>
        <w:pStyle w:val="TableofFigures"/>
        <w:tabs>
          <w:tab w:val="right" w:leader="dot" w:pos="9629"/>
        </w:tabs>
        <w:rPr>
          <w:rFonts w:asciiTheme="minorHAnsi" w:eastAsiaTheme="minorEastAsia" w:hAnsiTheme="minorHAnsi" w:cstheme="minorBidi"/>
          <w:b w:val="0"/>
          <w:noProof/>
          <w:sz w:val="22"/>
          <w:szCs w:val="22"/>
          <w:lang/>
        </w:rPr>
      </w:pPr>
      <w:hyperlink w:anchor="_Toc118446622" w:history="1">
        <w:r w:rsidRPr="003E52DE">
          <w:rPr>
            <w:rStyle w:val="Hyperlink"/>
            <w:rFonts w:ascii="Symbol" w:hAnsi="Symbol"/>
            <w:noProof/>
          </w:rPr>
          <w:t></w:t>
        </w:r>
        <w:r>
          <w:rPr>
            <w:rFonts w:asciiTheme="minorHAnsi" w:eastAsiaTheme="minorEastAsia" w:hAnsiTheme="minorHAnsi" w:cstheme="minorBidi"/>
            <w:b w:val="0"/>
            <w:noProof/>
            <w:sz w:val="22"/>
            <w:szCs w:val="22"/>
            <w:lang/>
          </w:rPr>
          <w:tab/>
        </w:r>
        <w:r w:rsidRPr="003E52DE">
          <w:rPr>
            <w:rStyle w:val="Hyperlink"/>
            <w:noProof/>
          </w:rPr>
          <w:t>Over-provisioning of TRPs may have to be done where some of the TRPs must keep on listening even when nothing is heard.</w:t>
        </w:r>
      </w:hyperlink>
    </w:p>
    <w:p w14:paraId="1587C771" w14:textId="08451F35" w:rsidR="00723412" w:rsidRDefault="00723412">
      <w:pPr>
        <w:pStyle w:val="TableofFigures"/>
        <w:tabs>
          <w:tab w:val="right" w:leader="dot" w:pos="9629"/>
        </w:tabs>
        <w:rPr>
          <w:rFonts w:asciiTheme="minorHAnsi" w:eastAsiaTheme="minorEastAsia" w:hAnsiTheme="minorHAnsi" w:cstheme="minorBidi"/>
          <w:b w:val="0"/>
          <w:noProof/>
          <w:sz w:val="22"/>
          <w:szCs w:val="22"/>
          <w:lang/>
        </w:rPr>
      </w:pPr>
      <w:hyperlink w:anchor="_Toc118446623" w:history="1">
        <w:r w:rsidRPr="003E52DE">
          <w:rPr>
            <w:rStyle w:val="Hyperlink"/>
            <w:noProof/>
          </w:rPr>
          <w:t>Proposal 2</w:t>
        </w:r>
        <w:r>
          <w:rPr>
            <w:rFonts w:asciiTheme="minorHAnsi" w:eastAsiaTheme="minorEastAsia" w:hAnsiTheme="minorHAnsi" w:cstheme="minorBidi"/>
            <w:b w:val="0"/>
            <w:noProof/>
            <w:sz w:val="22"/>
            <w:szCs w:val="22"/>
            <w:lang/>
          </w:rPr>
          <w:tab/>
        </w:r>
        <w:r w:rsidRPr="003E52DE">
          <w:rPr>
            <w:rStyle w:val="Hyperlink"/>
            <w:noProof/>
          </w:rPr>
          <w:t>Sequence ID co-ordination and allocation is done such that each UE UL-SRS in a validity area uniquely identifies the UE.</w:t>
        </w:r>
      </w:hyperlink>
    </w:p>
    <w:p w14:paraId="14FAEB82" w14:textId="276B36A7" w:rsidR="00723412" w:rsidRDefault="00723412">
      <w:pPr>
        <w:pStyle w:val="TableofFigures"/>
        <w:tabs>
          <w:tab w:val="right" w:leader="dot" w:pos="9629"/>
        </w:tabs>
        <w:rPr>
          <w:rFonts w:asciiTheme="minorHAnsi" w:eastAsiaTheme="minorEastAsia" w:hAnsiTheme="minorHAnsi" w:cstheme="minorBidi"/>
          <w:b w:val="0"/>
          <w:noProof/>
          <w:sz w:val="22"/>
          <w:szCs w:val="22"/>
          <w:lang/>
        </w:rPr>
      </w:pPr>
      <w:hyperlink w:anchor="_Toc118446624" w:history="1">
        <w:r w:rsidRPr="003E52DE">
          <w:rPr>
            <w:rStyle w:val="Hyperlink"/>
            <w:noProof/>
          </w:rPr>
          <w:t>Proposal 3</w:t>
        </w:r>
        <w:r>
          <w:rPr>
            <w:rFonts w:asciiTheme="minorHAnsi" w:eastAsiaTheme="minorEastAsia" w:hAnsiTheme="minorHAnsi" w:cstheme="minorBidi"/>
            <w:b w:val="0"/>
            <w:noProof/>
            <w:sz w:val="22"/>
            <w:szCs w:val="22"/>
            <w:lang/>
          </w:rPr>
          <w:tab/>
        </w:r>
        <w:r w:rsidRPr="003E52DE">
          <w:rPr>
            <w:rStyle w:val="Hyperlink"/>
            <w:noProof/>
          </w:rPr>
          <w:t>Occasional PDCCH monitoring is configured to provide accurate TA to improve positioning accuracy.</w:t>
        </w:r>
      </w:hyperlink>
    </w:p>
    <w:p w14:paraId="79298934" w14:textId="791A4AD2" w:rsidR="00723412" w:rsidRDefault="00723412">
      <w:pPr>
        <w:pStyle w:val="TableofFigures"/>
        <w:tabs>
          <w:tab w:val="right" w:leader="dot" w:pos="9629"/>
        </w:tabs>
        <w:rPr>
          <w:rFonts w:asciiTheme="minorHAnsi" w:eastAsiaTheme="minorEastAsia" w:hAnsiTheme="minorHAnsi" w:cstheme="minorBidi"/>
          <w:b w:val="0"/>
          <w:noProof/>
          <w:sz w:val="22"/>
          <w:szCs w:val="22"/>
          <w:lang/>
        </w:rPr>
      </w:pPr>
      <w:hyperlink w:anchor="_Toc118446625" w:history="1">
        <w:r w:rsidRPr="003E52DE">
          <w:rPr>
            <w:rStyle w:val="Hyperlink"/>
            <w:noProof/>
          </w:rPr>
          <w:t>Proposal 4</w:t>
        </w:r>
        <w:r>
          <w:rPr>
            <w:rFonts w:asciiTheme="minorHAnsi" w:eastAsiaTheme="minorEastAsia" w:hAnsiTheme="minorHAnsi" w:cstheme="minorBidi"/>
            <w:b w:val="0"/>
            <w:noProof/>
            <w:sz w:val="22"/>
            <w:szCs w:val="22"/>
            <w:lang/>
          </w:rPr>
          <w:tab/>
        </w:r>
        <w:r w:rsidRPr="003E52DE">
          <w:rPr>
            <w:rStyle w:val="Hyperlink"/>
            <w:noProof/>
          </w:rPr>
          <w:t>Send an LS to RAN3 asking on NW overhead and signalling impacts issue and if it is feasible to transmit UL-SRS in multi-cell during Inactive.</w:t>
        </w:r>
      </w:hyperlink>
    </w:p>
    <w:p w14:paraId="49818BD2" w14:textId="47914EA1" w:rsidR="00723412" w:rsidRDefault="00723412">
      <w:pPr>
        <w:pStyle w:val="TableofFigures"/>
        <w:tabs>
          <w:tab w:val="right" w:leader="dot" w:pos="9629"/>
        </w:tabs>
        <w:rPr>
          <w:rFonts w:asciiTheme="minorHAnsi" w:eastAsiaTheme="minorEastAsia" w:hAnsiTheme="minorHAnsi" w:cstheme="minorBidi"/>
          <w:b w:val="0"/>
          <w:noProof/>
          <w:sz w:val="22"/>
          <w:szCs w:val="22"/>
          <w:lang/>
        </w:rPr>
      </w:pPr>
      <w:hyperlink w:anchor="_Toc118446626" w:history="1">
        <w:r w:rsidRPr="003E52DE">
          <w:rPr>
            <w:rStyle w:val="Hyperlink"/>
            <w:rFonts w:ascii="Symbol" w:hAnsi="Symbol"/>
            <w:noProof/>
          </w:rPr>
          <w:t></w:t>
        </w:r>
        <w:r>
          <w:rPr>
            <w:rFonts w:asciiTheme="minorHAnsi" w:eastAsiaTheme="minorEastAsia" w:hAnsiTheme="minorHAnsi" w:cstheme="minorBidi"/>
            <w:b w:val="0"/>
            <w:noProof/>
            <w:sz w:val="22"/>
            <w:szCs w:val="22"/>
            <w:lang/>
          </w:rPr>
          <w:tab/>
        </w:r>
        <w:r w:rsidRPr="003E52DE">
          <w:rPr>
            <w:rStyle w:val="Hyperlink"/>
            <w:noProof/>
          </w:rPr>
          <w:t>For UL-SRS multi-cell (in a validity area), can we assume the listening TRPs would always be same? Does NW need to over-provision (configure several TRPs where some of them simply must listen even when nothing is heard”?</w:t>
        </w:r>
      </w:hyperlink>
    </w:p>
    <w:p w14:paraId="09DDE1EA" w14:textId="1C1A3D22" w:rsidR="00723412" w:rsidRDefault="00723412">
      <w:pPr>
        <w:pStyle w:val="TableofFigures"/>
        <w:tabs>
          <w:tab w:val="right" w:leader="dot" w:pos="9629"/>
        </w:tabs>
        <w:rPr>
          <w:rFonts w:asciiTheme="minorHAnsi" w:eastAsiaTheme="minorEastAsia" w:hAnsiTheme="minorHAnsi" w:cstheme="minorBidi"/>
          <w:b w:val="0"/>
          <w:noProof/>
          <w:sz w:val="22"/>
          <w:szCs w:val="22"/>
          <w:lang/>
        </w:rPr>
      </w:pPr>
      <w:hyperlink w:anchor="_Toc118446627" w:history="1">
        <w:r w:rsidRPr="003E52DE">
          <w:rPr>
            <w:rStyle w:val="Hyperlink"/>
            <w:noProof/>
          </w:rPr>
          <w:t>Proposal 5</w:t>
        </w:r>
        <w:r>
          <w:rPr>
            <w:rFonts w:asciiTheme="minorHAnsi" w:eastAsiaTheme="minorEastAsia" w:hAnsiTheme="minorHAnsi" w:cstheme="minorBidi"/>
            <w:b w:val="0"/>
            <w:noProof/>
            <w:sz w:val="22"/>
            <w:szCs w:val="22"/>
            <w:lang/>
          </w:rPr>
          <w:tab/>
        </w:r>
        <w:r w:rsidRPr="003E52DE">
          <w:rPr>
            <w:rStyle w:val="Hyperlink"/>
            <w:noProof/>
          </w:rPr>
          <w:t>Capture the Observation 1 to 4 in the TR as shown in the Annex (Text Proposal for TR).</w:t>
        </w:r>
      </w:hyperlink>
    </w:p>
    <w:p w14:paraId="203093B2" w14:textId="0711FE92" w:rsidR="00723412" w:rsidRDefault="00723412">
      <w:pPr>
        <w:pStyle w:val="TableofFigures"/>
        <w:tabs>
          <w:tab w:val="right" w:leader="dot" w:pos="9629"/>
        </w:tabs>
        <w:rPr>
          <w:rFonts w:asciiTheme="minorHAnsi" w:eastAsiaTheme="minorEastAsia" w:hAnsiTheme="minorHAnsi" w:cstheme="minorBidi"/>
          <w:b w:val="0"/>
          <w:noProof/>
          <w:sz w:val="22"/>
          <w:szCs w:val="22"/>
          <w:lang/>
        </w:rPr>
      </w:pPr>
      <w:hyperlink w:anchor="_Toc118446628" w:history="1">
        <w:r w:rsidRPr="003E52DE">
          <w:rPr>
            <w:rStyle w:val="Hyperlink"/>
            <w:noProof/>
          </w:rPr>
          <w:t>Proposal 6</w:t>
        </w:r>
        <w:r>
          <w:rPr>
            <w:rFonts w:asciiTheme="minorHAnsi" w:eastAsiaTheme="minorEastAsia" w:hAnsiTheme="minorHAnsi" w:cstheme="minorBidi"/>
            <w:b w:val="0"/>
            <w:noProof/>
            <w:sz w:val="22"/>
            <w:szCs w:val="22"/>
            <w:lang/>
          </w:rPr>
          <w:tab/>
        </w:r>
        <w:r w:rsidRPr="003E52DE">
          <w:rPr>
            <w:rStyle w:val="Hyperlink"/>
            <w:noProof/>
          </w:rPr>
          <w:t>SRS configuration in RRC Inactive mode is not valid in multiple cell.</w:t>
        </w:r>
      </w:hyperlink>
    </w:p>
    <w:p w14:paraId="029EC44C" w14:textId="71853DA8" w:rsidR="00723412" w:rsidRDefault="00723412">
      <w:pPr>
        <w:pStyle w:val="TableofFigures"/>
        <w:tabs>
          <w:tab w:val="right" w:leader="dot" w:pos="9629"/>
        </w:tabs>
        <w:rPr>
          <w:rFonts w:asciiTheme="minorHAnsi" w:eastAsiaTheme="minorEastAsia" w:hAnsiTheme="minorHAnsi" w:cstheme="minorBidi"/>
          <w:b w:val="0"/>
          <w:noProof/>
          <w:sz w:val="22"/>
          <w:szCs w:val="22"/>
          <w:lang/>
        </w:rPr>
      </w:pPr>
      <w:hyperlink w:anchor="_Toc118446629" w:history="1">
        <w:r w:rsidRPr="003E52DE">
          <w:rPr>
            <w:rStyle w:val="Hyperlink"/>
            <w:noProof/>
          </w:rPr>
          <w:t>Proposal 7</w:t>
        </w:r>
        <w:r>
          <w:rPr>
            <w:rFonts w:asciiTheme="minorHAnsi" w:eastAsiaTheme="minorEastAsia" w:hAnsiTheme="minorHAnsi" w:cstheme="minorBidi"/>
            <w:b w:val="0"/>
            <w:noProof/>
            <w:sz w:val="22"/>
            <w:szCs w:val="22"/>
            <w:lang/>
          </w:rPr>
          <w:tab/>
        </w:r>
        <w:r w:rsidRPr="003E52DE">
          <w:rPr>
            <w:rStyle w:val="Hyperlink"/>
            <w:noProof/>
          </w:rPr>
          <w:t>Non-Positioning procedure related (e.g., communication related; MICO states, RRM relaxation, eDRX cycle) power saving enhancement is not discussed in Positioning WI.</w:t>
        </w:r>
      </w:hyperlink>
    </w:p>
    <w:p w14:paraId="1FDD46AB" w14:textId="21C17627" w:rsidR="00723412" w:rsidRDefault="00723412">
      <w:pPr>
        <w:pStyle w:val="TableofFigures"/>
        <w:tabs>
          <w:tab w:val="right" w:leader="dot" w:pos="9629"/>
        </w:tabs>
        <w:rPr>
          <w:rFonts w:asciiTheme="minorHAnsi" w:eastAsiaTheme="minorEastAsia" w:hAnsiTheme="minorHAnsi" w:cstheme="minorBidi"/>
          <w:b w:val="0"/>
          <w:noProof/>
          <w:sz w:val="22"/>
          <w:szCs w:val="22"/>
          <w:lang/>
        </w:rPr>
      </w:pPr>
      <w:hyperlink w:anchor="_Toc118446630" w:history="1">
        <w:r w:rsidRPr="003E52DE">
          <w:rPr>
            <w:rStyle w:val="Hyperlink"/>
            <w:noProof/>
          </w:rPr>
          <w:t>Proposal 8</w:t>
        </w:r>
        <w:r>
          <w:rPr>
            <w:rFonts w:asciiTheme="minorHAnsi" w:eastAsiaTheme="minorEastAsia" w:hAnsiTheme="minorHAnsi" w:cstheme="minorBidi"/>
            <w:b w:val="0"/>
            <w:noProof/>
            <w:sz w:val="22"/>
            <w:szCs w:val="22"/>
            <w:lang/>
          </w:rPr>
          <w:tab/>
        </w:r>
        <w:r w:rsidRPr="003E52DE">
          <w:rPr>
            <w:rStyle w:val="Hyperlink"/>
            <w:noProof/>
          </w:rPr>
          <w:t>Send an LS to RAN1 to define RSTD measurements for RRC idle mode.</w:t>
        </w:r>
      </w:hyperlink>
    </w:p>
    <w:p w14:paraId="06ECC44D" w14:textId="15B4D4FF" w:rsidR="00723412" w:rsidRDefault="00723412">
      <w:pPr>
        <w:pStyle w:val="TableofFigures"/>
        <w:tabs>
          <w:tab w:val="right" w:leader="dot" w:pos="9629"/>
        </w:tabs>
        <w:rPr>
          <w:rFonts w:asciiTheme="minorHAnsi" w:eastAsiaTheme="minorEastAsia" w:hAnsiTheme="minorHAnsi" w:cstheme="minorBidi"/>
          <w:b w:val="0"/>
          <w:noProof/>
          <w:sz w:val="22"/>
          <w:szCs w:val="22"/>
          <w:lang/>
        </w:rPr>
      </w:pPr>
      <w:hyperlink w:anchor="_Toc118446631" w:history="1">
        <w:r w:rsidRPr="003E52DE">
          <w:rPr>
            <w:rStyle w:val="Hyperlink"/>
            <w:rFonts w:ascii="Symbol" w:hAnsi="Symbol"/>
            <w:noProof/>
          </w:rPr>
          <w:t></w:t>
        </w:r>
        <w:r>
          <w:rPr>
            <w:rFonts w:asciiTheme="minorHAnsi" w:eastAsiaTheme="minorEastAsia" w:hAnsiTheme="minorHAnsi" w:cstheme="minorBidi"/>
            <w:b w:val="0"/>
            <w:noProof/>
            <w:sz w:val="22"/>
            <w:szCs w:val="22"/>
            <w:lang/>
          </w:rPr>
          <w:tab/>
        </w:r>
        <w:r w:rsidRPr="003E52DE">
          <w:rPr>
            <w:rStyle w:val="Hyperlink"/>
            <w:noProof/>
          </w:rPr>
          <w:t>To minimize interference, UL-SRS Resource pool have to be maintained and this would lead to capacity loss. IIOT requires solution which can be scaled.</w:t>
        </w:r>
      </w:hyperlink>
    </w:p>
    <w:p w14:paraId="07BDF8C8" w14:textId="65D6A355" w:rsidR="006E1C82" w:rsidRPr="00CE0424" w:rsidRDefault="006E1C82" w:rsidP="006E1C82">
      <w:pPr>
        <w:pStyle w:val="BodyText"/>
        <w:rPr>
          <w:b/>
          <w:bCs/>
        </w:rPr>
      </w:pPr>
      <w:r>
        <w:rPr>
          <w:b/>
          <w:bCs/>
          <w:lang w:val="en-US"/>
        </w:rPr>
        <w:fldChar w:fldCharType="end"/>
      </w:r>
      <w:r w:rsidRPr="00CE0424">
        <w:rPr>
          <w:b/>
          <w:bCs/>
        </w:rPr>
        <w:t xml:space="preserve"> </w:t>
      </w:r>
    </w:p>
    <w:p w14:paraId="1DFDBEBE" w14:textId="77777777" w:rsidR="008E065E" w:rsidRPr="00CE0424" w:rsidRDefault="008E065E" w:rsidP="008E065E">
      <w:pPr>
        <w:rPr>
          <w:b/>
          <w:bCs/>
        </w:rPr>
      </w:pPr>
    </w:p>
    <w:p w14:paraId="2A8B3E55" w14:textId="77777777" w:rsidR="008E065E" w:rsidRPr="00CE0424" w:rsidRDefault="008E065E" w:rsidP="008E065E">
      <w:pPr>
        <w:rPr>
          <w:b/>
          <w:bCs/>
        </w:rPr>
      </w:pPr>
    </w:p>
    <w:p w14:paraId="3AE2F9C4" w14:textId="77777777" w:rsidR="00AB0BC8" w:rsidRPr="00CE0424" w:rsidRDefault="00AB0BC8" w:rsidP="00A04F49">
      <w:pPr>
        <w:rPr>
          <w:b/>
          <w:bCs/>
        </w:rPr>
      </w:pPr>
    </w:p>
    <w:p w14:paraId="30949CD9" w14:textId="77777777" w:rsidR="00311702" w:rsidRPr="00CE0424" w:rsidRDefault="00311702" w:rsidP="00AB0BC8"/>
    <w:p w14:paraId="5051FB4F" w14:textId="77777777" w:rsidR="00C01F33" w:rsidRPr="00CE0424" w:rsidRDefault="00C01F33" w:rsidP="006E062C"/>
    <w:p w14:paraId="7422F4AA" w14:textId="77777777" w:rsidR="00F507D1" w:rsidRPr="00CE0424" w:rsidRDefault="00F507D1" w:rsidP="00CE0424">
      <w:pPr>
        <w:pStyle w:val="Heading1"/>
      </w:pPr>
      <w:bookmarkStart w:id="24" w:name="_In-sequence_SDU_delivery"/>
      <w:bookmarkEnd w:id="24"/>
      <w:r w:rsidRPr="00CE0424">
        <w:t>References</w:t>
      </w:r>
    </w:p>
    <w:p w14:paraId="360D4D82" w14:textId="77777777" w:rsidR="00F90761" w:rsidRPr="00794F4D" w:rsidRDefault="00F90761" w:rsidP="00F90761">
      <w:pPr>
        <w:pStyle w:val="Reference"/>
        <w:rPr>
          <w:rFonts w:cs="Arial"/>
          <w:sz w:val="18"/>
        </w:rPr>
      </w:pPr>
      <w:bookmarkStart w:id="25" w:name="_Ref174151459"/>
      <w:bookmarkStart w:id="26" w:name="_Ref189809556"/>
      <w:r w:rsidRPr="00794F4D">
        <w:rPr>
          <w:rStyle w:val="normaltextrun"/>
          <w:rFonts w:cs="Arial"/>
          <w:bCs/>
          <w:color w:val="000000"/>
          <w:sz w:val="18"/>
          <w:shd w:val="clear" w:color="auto" w:fill="FFFFFF"/>
        </w:rPr>
        <w:t>RP-210903</w:t>
      </w:r>
      <w:r w:rsidRPr="00794F4D">
        <w:rPr>
          <w:rStyle w:val="eop"/>
          <w:rFonts w:cs="Arial"/>
          <w:color w:val="000000"/>
          <w:sz w:val="18"/>
          <w:shd w:val="clear" w:color="auto" w:fill="FFFFFF"/>
        </w:rPr>
        <w:t> </w:t>
      </w:r>
      <w:r w:rsidRPr="00794F4D">
        <w:rPr>
          <w:rFonts w:cs="Arial"/>
          <w:sz w:val="18"/>
        </w:rPr>
        <w:t>, “</w:t>
      </w:r>
      <w:r w:rsidRPr="00794F4D">
        <w:rPr>
          <w:rStyle w:val="normaltextrun"/>
          <w:rFonts w:cs="Arial"/>
          <w:bCs/>
          <w:color w:val="000000"/>
          <w:sz w:val="18"/>
          <w:shd w:val="clear" w:color="auto" w:fill="FFFFFF"/>
        </w:rPr>
        <w:t>Revised WID on NR Positioning Enhancements</w:t>
      </w:r>
      <w:r w:rsidRPr="00794F4D">
        <w:rPr>
          <w:rStyle w:val="eop"/>
          <w:rFonts w:eastAsia="Batang" w:cs="Arial"/>
          <w:color w:val="000000"/>
          <w:sz w:val="18"/>
          <w:shd w:val="clear" w:color="auto" w:fill="FFFFFF"/>
        </w:rPr>
        <w:t xml:space="preserve">“, </w:t>
      </w:r>
      <w:r w:rsidRPr="00794F4D">
        <w:rPr>
          <w:rStyle w:val="normaltextrun"/>
          <w:rFonts w:cs="Arial"/>
          <w:bCs/>
          <w:color w:val="000000"/>
          <w:sz w:val="18"/>
          <w:shd w:val="clear" w:color="auto" w:fill="FFFFFF"/>
        </w:rPr>
        <w:t>March 16 - 26, 2021</w:t>
      </w:r>
    </w:p>
    <w:bookmarkEnd w:id="25"/>
    <w:bookmarkEnd w:id="26"/>
    <w:p w14:paraId="324DC28D" w14:textId="77777777" w:rsidR="003A7EF3" w:rsidRDefault="003A7EF3" w:rsidP="00CE0424">
      <w:pPr>
        <w:pStyle w:val="BodyText"/>
      </w:pPr>
    </w:p>
    <w:p w14:paraId="23E8CB6E" w14:textId="77777777" w:rsidR="00D827B8" w:rsidRPr="00CE0424" w:rsidRDefault="00D827B8" w:rsidP="00D827B8"/>
    <w:p w14:paraId="423C71DC" w14:textId="3F340028" w:rsidR="00D827B8" w:rsidRDefault="00D827B8" w:rsidP="00D827B8">
      <w:pPr>
        <w:pStyle w:val="Heading1"/>
      </w:pPr>
      <w:r>
        <w:t>Text Proposals</w:t>
      </w:r>
      <w:r w:rsidR="00455718">
        <w:t xml:space="preserve"> for TR</w:t>
      </w:r>
    </w:p>
    <w:p w14:paraId="14AC61A2" w14:textId="269333F9" w:rsidR="00D827B8" w:rsidRDefault="005854A9" w:rsidP="00D827B8">
      <w:pPr>
        <w:rPr>
          <w:lang w:val="en-GB" w:eastAsia="ja-JP"/>
        </w:rPr>
      </w:pPr>
      <w:r>
        <w:rPr>
          <w:lang w:val="en-GB" w:eastAsia="ja-JP"/>
        </w:rPr>
        <w:t xml:space="preserve">Some observations for </w:t>
      </w:r>
      <w:r w:rsidR="00D827B8">
        <w:rPr>
          <w:lang w:val="en-GB" w:eastAsia="ja-JP"/>
        </w:rPr>
        <w:t xml:space="preserve">Multi-cell UL-SRS configuration </w:t>
      </w:r>
      <w:r>
        <w:rPr>
          <w:lang w:val="en-GB" w:eastAsia="ja-JP"/>
        </w:rPr>
        <w:t>are as below:</w:t>
      </w:r>
    </w:p>
    <w:p w14:paraId="6CF379E4" w14:textId="77777777" w:rsidR="005854A9" w:rsidRDefault="005854A9" w:rsidP="00D827B8">
      <w:pPr>
        <w:rPr>
          <w:lang w:val="en-GB" w:eastAsia="ja-JP"/>
        </w:rPr>
      </w:pPr>
    </w:p>
    <w:p w14:paraId="6A60C0F2" w14:textId="01206EC4" w:rsidR="005854A9" w:rsidRDefault="00E10341" w:rsidP="005854A9">
      <w:pPr>
        <w:pStyle w:val="Proposal"/>
        <w:numPr>
          <w:ilvl w:val="0"/>
          <w:numId w:val="27"/>
        </w:numPr>
      </w:pPr>
      <w:bookmarkStart w:id="27" w:name="_Toc115422101"/>
      <w:bookmarkStart w:id="28" w:name="_Toc118446631"/>
      <w:r>
        <w:t xml:space="preserve">To minimize interference, </w:t>
      </w:r>
      <w:r w:rsidR="005854A9">
        <w:t>UL-SRS Resource pool</w:t>
      </w:r>
      <w:r>
        <w:t xml:space="preserve"> have to be maintained and this</w:t>
      </w:r>
      <w:r w:rsidR="005854A9">
        <w:t xml:space="preserve"> would lead to capacity loss.</w:t>
      </w:r>
      <w:bookmarkEnd w:id="27"/>
      <w:r>
        <w:t xml:space="preserve"> IIOT requires solution which can be scaled</w:t>
      </w:r>
      <w:r w:rsidR="000B78AB">
        <w:t>.</w:t>
      </w:r>
      <w:bookmarkEnd w:id="28"/>
    </w:p>
    <w:p w14:paraId="1CD6F07D" w14:textId="77777777" w:rsidR="005854A9" w:rsidRPr="00CE0424" w:rsidRDefault="005854A9" w:rsidP="005854A9">
      <w:pPr>
        <w:pStyle w:val="Observation"/>
        <w:numPr>
          <w:ilvl w:val="0"/>
          <w:numId w:val="27"/>
        </w:numPr>
      </w:pPr>
      <w:bookmarkStart w:id="29" w:name="_Toc118446641"/>
      <w:r>
        <w:t>UL-SRS Resource pool would not only require reserving time/frequency resource but also other resource such as sequence ID.</w:t>
      </w:r>
      <w:bookmarkEnd w:id="29"/>
    </w:p>
    <w:p w14:paraId="7CD4A673" w14:textId="41251015" w:rsidR="005854A9" w:rsidRDefault="007D336C" w:rsidP="005854A9">
      <w:pPr>
        <w:pStyle w:val="Observation"/>
        <w:numPr>
          <w:ilvl w:val="0"/>
          <w:numId w:val="27"/>
        </w:numPr>
      </w:pPr>
      <w:bookmarkStart w:id="30" w:name="_Toc118446642"/>
      <w:r>
        <w:t xml:space="preserve">Wrong TA leads to accuracy degradation. </w:t>
      </w:r>
      <w:r w:rsidR="005854A9">
        <w:t>Preamble based TA update would lead to large positioning error. The objective however is High Accuracy</w:t>
      </w:r>
      <w:bookmarkEnd w:id="30"/>
    </w:p>
    <w:p w14:paraId="66DECCE9" w14:textId="56059FA4" w:rsidR="00922118" w:rsidRPr="00CE0424" w:rsidRDefault="00DA7802" w:rsidP="00455718">
      <w:pPr>
        <w:pStyle w:val="Observation"/>
        <w:numPr>
          <w:ilvl w:val="0"/>
          <w:numId w:val="27"/>
        </w:numPr>
      </w:pPr>
      <w:bookmarkStart w:id="31" w:name="_Toc118446643"/>
      <w:r>
        <w:t xml:space="preserve">To enable multi-cell SRS; </w:t>
      </w:r>
      <w:r w:rsidR="00922118">
        <w:t xml:space="preserve">NW may have to </w:t>
      </w:r>
      <w:r w:rsidR="00922118" w:rsidRPr="00922118">
        <w:t>over-provision (configure several</w:t>
      </w:r>
      <w:r w:rsidR="00922118">
        <w:t xml:space="preserve">) </w:t>
      </w:r>
      <w:r w:rsidR="00922118" w:rsidRPr="00922118">
        <w:t>TRPs where some of them must listen even when nothing is heard</w:t>
      </w:r>
      <w:r w:rsidR="00922118">
        <w:t>.</w:t>
      </w:r>
      <w:bookmarkEnd w:id="31"/>
    </w:p>
    <w:p w14:paraId="7277B612" w14:textId="77777777" w:rsidR="00B0469C" w:rsidRDefault="00B0469C" w:rsidP="00B0469C">
      <w:pPr>
        <w:pStyle w:val="Observation"/>
        <w:numPr>
          <w:ilvl w:val="0"/>
          <w:numId w:val="0"/>
        </w:numPr>
        <w:ind w:left="360" w:hanging="360"/>
      </w:pPr>
    </w:p>
    <w:p w14:paraId="4E94DC1C" w14:textId="12D43812" w:rsidR="004F0A93" w:rsidRPr="00CE0424" w:rsidRDefault="004F0A93" w:rsidP="00B0469C">
      <w:pPr>
        <w:pStyle w:val="Observation"/>
        <w:numPr>
          <w:ilvl w:val="0"/>
          <w:numId w:val="0"/>
        </w:numPr>
        <w:ind w:left="360" w:hanging="360"/>
      </w:pPr>
      <w:bookmarkStart w:id="32" w:name="_Toc118446644"/>
      <w:r>
        <w:t>UL-SRS validity across multiple cells is not scalable. Several new enhancements and complicated solutions must be introduced which will not only increase NW complexity but also UE.</w:t>
      </w:r>
      <w:bookmarkEnd w:id="32"/>
      <w:r>
        <w:t xml:space="preserve"> </w:t>
      </w:r>
    </w:p>
    <w:p w14:paraId="61CB4878" w14:textId="0ABB1AC2" w:rsidR="00581EF8" w:rsidRDefault="00581EF8" w:rsidP="00581EF8">
      <w:pPr>
        <w:pStyle w:val="Observation"/>
        <w:numPr>
          <w:ilvl w:val="0"/>
          <w:numId w:val="0"/>
        </w:numPr>
        <w:ind w:left="360" w:hanging="360"/>
      </w:pPr>
      <w:bookmarkStart w:id="33" w:name="_Toc118446645"/>
      <w:r>
        <w:t xml:space="preserve">Hence, </w:t>
      </w:r>
      <w:r w:rsidR="001E06F0">
        <w:t xml:space="preserve">Multi-Cell </w:t>
      </w:r>
      <w:r>
        <w:t>UL-SRS in RRC Inactive mode is not recommended for normative work</w:t>
      </w:r>
      <w:r w:rsidR="00DD23E0">
        <w:t>.</w:t>
      </w:r>
      <w:bookmarkEnd w:id="33"/>
    </w:p>
    <w:p w14:paraId="609A54B5" w14:textId="77777777" w:rsidR="00581EF8" w:rsidRPr="00CE0424" w:rsidRDefault="00581EF8" w:rsidP="00581EF8">
      <w:pPr>
        <w:pStyle w:val="Observation"/>
        <w:numPr>
          <w:ilvl w:val="0"/>
          <w:numId w:val="0"/>
        </w:numPr>
        <w:ind w:left="360" w:hanging="360"/>
      </w:pPr>
    </w:p>
    <w:p w14:paraId="630423BE" w14:textId="77777777" w:rsidR="005A46FF" w:rsidRPr="005A46FF" w:rsidRDefault="005A46FF" w:rsidP="00FB2E96">
      <w:pPr>
        <w:pStyle w:val="ListParagraph"/>
        <w:ind w:left="2061"/>
        <w:rPr>
          <w:lang w:val="en-GB" w:eastAsia="ja-JP"/>
        </w:rPr>
      </w:pPr>
    </w:p>
    <w:p w14:paraId="7D45243B" w14:textId="77777777" w:rsidR="008A1A4E" w:rsidRDefault="008A1A4E" w:rsidP="008A1A4E">
      <w:pPr>
        <w:rPr>
          <w:lang w:val="en-GB" w:eastAsia="ja-JP"/>
        </w:rPr>
      </w:pPr>
    </w:p>
    <w:p w14:paraId="095A5AF9" w14:textId="77777777" w:rsidR="005854A9" w:rsidRPr="00D827B8" w:rsidRDefault="005854A9" w:rsidP="00D827B8">
      <w:pPr>
        <w:rPr>
          <w:lang w:val="en-GB" w:eastAsia="ja-JP"/>
        </w:rPr>
      </w:pPr>
    </w:p>
    <w:sectPr w:rsidR="005854A9" w:rsidRPr="00D827B8" w:rsidSect="00C473A5">
      <w:headerReference w:type="even" r:id="rId21"/>
      <w:footerReference w:type="defaul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956944" w14:textId="77777777" w:rsidR="00603B2E" w:rsidRDefault="00603B2E">
      <w:r>
        <w:separator/>
      </w:r>
    </w:p>
  </w:endnote>
  <w:endnote w:type="continuationSeparator" w:id="0">
    <w:p w14:paraId="24824330" w14:textId="77777777" w:rsidR="00603B2E" w:rsidRDefault="00603B2E">
      <w:r>
        <w:continuationSeparator/>
      </w:r>
    </w:p>
  </w:endnote>
  <w:endnote w:type="continuationNotice" w:id="1">
    <w:p w14:paraId="39891FF6" w14:textId="77777777" w:rsidR="00603B2E" w:rsidRDefault="00603B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1795F"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101B65" w14:textId="77777777" w:rsidR="00603B2E" w:rsidRDefault="00603B2E">
      <w:r>
        <w:separator/>
      </w:r>
    </w:p>
  </w:footnote>
  <w:footnote w:type="continuationSeparator" w:id="0">
    <w:p w14:paraId="4BC1DD37" w14:textId="77777777" w:rsidR="00603B2E" w:rsidRDefault="00603B2E">
      <w:r>
        <w:continuationSeparator/>
      </w:r>
    </w:p>
  </w:footnote>
  <w:footnote w:type="continuationNotice" w:id="1">
    <w:p w14:paraId="13EC6F74" w14:textId="77777777" w:rsidR="00603B2E" w:rsidRDefault="00603B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8E559"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CF86B3E"/>
    <w:lvl w:ilvl="0">
      <w:start w:val="1"/>
      <w:numFmt w:val="decimal"/>
      <w:lvlText w:val="%1."/>
      <w:lvlJc w:val="left"/>
      <w:pPr>
        <w:tabs>
          <w:tab w:val="num" w:pos="7729"/>
        </w:tabs>
        <w:ind w:left="7729" w:hanging="360"/>
      </w:pPr>
    </w:lvl>
  </w:abstractNum>
  <w:abstractNum w:abstractNumId="1" w15:restartNumberingAfterBreak="0">
    <w:nsid w:val="FFFFFF7D"/>
    <w:multiLevelType w:val="singleLevel"/>
    <w:tmpl w:val="0A00F0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7F527EC"/>
    <w:multiLevelType w:val="hybridMultilevel"/>
    <w:tmpl w:val="930220EE"/>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83340792"/>
    <w:lvl w:ilvl="0" w:tplc="78A864BC">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5EAA60F5"/>
    <w:multiLevelType w:val="hybridMultilevel"/>
    <w:tmpl w:val="DCB6B1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2244798"/>
    <w:multiLevelType w:val="hybridMultilevel"/>
    <w:tmpl w:val="2184175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8387CD9"/>
    <w:multiLevelType w:val="hybridMultilevel"/>
    <w:tmpl w:val="D5FA6482"/>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7D45AF6"/>
    <w:multiLevelType w:val="hybridMultilevel"/>
    <w:tmpl w:val="BAC0C7B8"/>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29" w15:restartNumberingAfterBreak="0">
    <w:nsid w:val="7D9474EF"/>
    <w:multiLevelType w:val="hybridMultilevel"/>
    <w:tmpl w:val="A9F47E6E"/>
    <w:lvl w:ilvl="0" w:tplc="E3247394">
      <w:start w:val="1"/>
      <w:numFmt w:val="bullet"/>
      <w:lvlText w:val="•"/>
      <w:lvlJc w:val="left"/>
      <w:pPr>
        <w:tabs>
          <w:tab w:val="num" w:pos="720"/>
        </w:tabs>
        <w:ind w:left="720" w:hanging="360"/>
      </w:pPr>
      <w:rPr>
        <w:rFonts w:ascii="Arial" w:hAnsi="Arial" w:hint="default"/>
      </w:rPr>
    </w:lvl>
    <w:lvl w:ilvl="1" w:tplc="55724CDE" w:tentative="1">
      <w:start w:val="1"/>
      <w:numFmt w:val="bullet"/>
      <w:lvlText w:val="•"/>
      <w:lvlJc w:val="left"/>
      <w:pPr>
        <w:tabs>
          <w:tab w:val="num" w:pos="1440"/>
        </w:tabs>
        <w:ind w:left="1440" w:hanging="360"/>
      </w:pPr>
      <w:rPr>
        <w:rFonts w:ascii="Arial" w:hAnsi="Arial" w:hint="default"/>
      </w:rPr>
    </w:lvl>
    <w:lvl w:ilvl="2" w:tplc="3A16AEA8" w:tentative="1">
      <w:start w:val="1"/>
      <w:numFmt w:val="bullet"/>
      <w:lvlText w:val="•"/>
      <w:lvlJc w:val="left"/>
      <w:pPr>
        <w:tabs>
          <w:tab w:val="num" w:pos="2160"/>
        </w:tabs>
        <w:ind w:left="2160" w:hanging="360"/>
      </w:pPr>
      <w:rPr>
        <w:rFonts w:ascii="Arial" w:hAnsi="Arial" w:hint="default"/>
      </w:rPr>
    </w:lvl>
    <w:lvl w:ilvl="3" w:tplc="FFCE2E64" w:tentative="1">
      <w:start w:val="1"/>
      <w:numFmt w:val="bullet"/>
      <w:lvlText w:val="•"/>
      <w:lvlJc w:val="left"/>
      <w:pPr>
        <w:tabs>
          <w:tab w:val="num" w:pos="2880"/>
        </w:tabs>
        <w:ind w:left="2880" w:hanging="360"/>
      </w:pPr>
      <w:rPr>
        <w:rFonts w:ascii="Arial" w:hAnsi="Arial" w:hint="default"/>
      </w:rPr>
    </w:lvl>
    <w:lvl w:ilvl="4" w:tplc="1BA848B8" w:tentative="1">
      <w:start w:val="1"/>
      <w:numFmt w:val="bullet"/>
      <w:lvlText w:val="•"/>
      <w:lvlJc w:val="left"/>
      <w:pPr>
        <w:tabs>
          <w:tab w:val="num" w:pos="3600"/>
        </w:tabs>
        <w:ind w:left="3600" w:hanging="360"/>
      </w:pPr>
      <w:rPr>
        <w:rFonts w:ascii="Arial" w:hAnsi="Arial" w:hint="default"/>
      </w:rPr>
    </w:lvl>
    <w:lvl w:ilvl="5" w:tplc="511ABFF4" w:tentative="1">
      <w:start w:val="1"/>
      <w:numFmt w:val="bullet"/>
      <w:lvlText w:val="•"/>
      <w:lvlJc w:val="left"/>
      <w:pPr>
        <w:tabs>
          <w:tab w:val="num" w:pos="4320"/>
        </w:tabs>
        <w:ind w:left="4320" w:hanging="360"/>
      </w:pPr>
      <w:rPr>
        <w:rFonts w:ascii="Arial" w:hAnsi="Arial" w:hint="default"/>
      </w:rPr>
    </w:lvl>
    <w:lvl w:ilvl="6" w:tplc="7B863E02" w:tentative="1">
      <w:start w:val="1"/>
      <w:numFmt w:val="bullet"/>
      <w:lvlText w:val="•"/>
      <w:lvlJc w:val="left"/>
      <w:pPr>
        <w:tabs>
          <w:tab w:val="num" w:pos="5040"/>
        </w:tabs>
        <w:ind w:left="5040" w:hanging="360"/>
      </w:pPr>
      <w:rPr>
        <w:rFonts w:ascii="Arial" w:hAnsi="Arial" w:hint="default"/>
      </w:rPr>
    </w:lvl>
    <w:lvl w:ilvl="7" w:tplc="2460D368" w:tentative="1">
      <w:start w:val="1"/>
      <w:numFmt w:val="bullet"/>
      <w:lvlText w:val="•"/>
      <w:lvlJc w:val="left"/>
      <w:pPr>
        <w:tabs>
          <w:tab w:val="num" w:pos="5760"/>
        </w:tabs>
        <w:ind w:left="5760" w:hanging="360"/>
      </w:pPr>
      <w:rPr>
        <w:rFonts w:ascii="Arial" w:hAnsi="Arial" w:hint="default"/>
      </w:rPr>
    </w:lvl>
    <w:lvl w:ilvl="8" w:tplc="F09AC5E4" w:tentative="1">
      <w:start w:val="1"/>
      <w:numFmt w:val="bullet"/>
      <w:lvlText w:val="•"/>
      <w:lvlJc w:val="left"/>
      <w:pPr>
        <w:tabs>
          <w:tab w:val="num" w:pos="6480"/>
        </w:tabs>
        <w:ind w:left="6480" w:hanging="360"/>
      </w:pPr>
      <w:rPr>
        <w:rFonts w:ascii="Arial" w:hAnsi="Arial" w:hint="default"/>
      </w:rPr>
    </w:lvl>
  </w:abstractNum>
  <w:num w:numId="1" w16cid:durableId="1567062935">
    <w:abstractNumId w:val="3"/>
  </w:num>
  <w:num w:numId="2" w16cid:durableId="753746377">
    <w:abstractNumId w:val="17"/>
  </w:num>
  <w:num w:numId="3" w16cid:durableId="1912930687">
    <w:abstractNumId w:val="13"/>
  </w:num>
  <w:num w:numId="4" w16cid:durableId="561986227">
    <w:abstractNumId w:val="14"/>
  </w:num>
  <w:num w:numId="5" w16cid:durableId="714282485">
    <w:abstractNumId w:val="10"/>
  </w:num>
  <w:num w:numId="6" w16cid:durableId="165899036">
    <w:abstractNumId w:val="16"/>
  </w:num>
  <w:num w:numId="7" w16cid:durableId="1464926842">
    <w:abstractNumId w:val="20"/>
  </w:num>
  <w:num w:numId="8" w16cid:durableId="871265491">
    <w:abstractNumId w:val="11"/>
  </w:num>
  <w:num w:numId="9" w16cid:durableId="261957067">
    <w:abstractNumId w:val="9"/>
  </w:num>
  <w:num w:numId="10" w16cid:durableId="67852961">
    <w:abstractNumId w:val="2"/>
  </w:num>
  <w:num w:numId="11" w16cid:durableId="688798477">
    <w:abstractNumId w:val="1"/>
  </w:num>
  <w:num w:numId="12" w16cid:durableId="716395703">
    <w:abstractNumId w:val="0"/>
  </w:num>
  <w:num w:numId="13" w16cid:durableId="1199006667">
    <w:abstractNumId w:val="18"/>
  </w:num>
  <w:num w:numId="14" w16cid:durableId="1069234106">
    <w:abstractNumId w:val="19"/>
  </w:num>
  <w:num w:numId="15" w16cid:durableId="363211580">
    <w:abstractNumId w:val="15"/>
  </w:num>
  <w:num w:numId="16" w16cid:durableId="1505050789">
    <w:abstractNumId w:val="21"/>
  </w:num>
  <w:num w:numId="17" w16cid:durableId="746728593">
    <w:abstractNumId w:val="6"/>
  </w:num>
  <w:num w:numId="18" w16cid:durableId="1894462154">
    <w:abstractNumId w:val="7"/>
  </w:num>
  <w:num w:numId="19" w16cid:durableId="811629716">
    <w:abstractNumId w:val="5"/>
  </w:num>
  <w:num w:numId="20" w16cid:durableId="312295227">
    <w:abstractNumId w:val="27"/>
  </w:num>
  <w:num w:numId="21" w16cid:durableId="1759712031">
    <w:abstractNumId w:val="12"/>
  </w:num>
  <w:num w:numId="22" w16cid:durableId="1146823383">
    <w:abstractNumId w:val="25"/>
  </w:num>
  <w:num w:numId="23" w16cid:durableId="1092357542">
    <w:abstractNumId w:val="22"/>
  </w:num>
  <w:num w:numId="24" w16cid:durableId="1045639756">
    <w:abstractNumId w:val="23"/>
  </w:num>
  <w:num w:numId="25" w16cid:durableId="1170487339">
    <w:abstractNumId w:val="26"/>
  </w:num>
  <w:num w:numId="26" w16cid:durableId="394789095">
    <w:abstractNumId w:val="4"/>
  </w:num>
  <w:num w:numId="27" w16cid:durableId="1061438123">
    <w:abstractNumId w:val="8"/>
  </w:num>
  <w:num w:numId="28" w16cid:durableId="1559633331">
    <w:abstractNumId w:val="24"/>
  </w:num>
  <w:num w:numId="29" w16cid:durableId="41684905">
    <w:abstractNumId w:val="28"/>
  </w:num>
  <w:num w:numId="30" w16cid:durableId="141580218">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5D4C"/>
    <w:rsid w:val="000006E1"/>
    <w:rsid w:val="00002A37"/>
    <w:rsid w:val="00004D50"/>
    <w:rsid w:val="000054E0"/>
    <w:rsid w:val="0000564C"/>
    <w:rsid w:val="00006446"/>
    <w:rsid w:val="00006896"/>
    <w:rsid w:val="00007CDC"/>
    <w:rsid w:val="0001059B"/>
    <w:rsid w:val="00011B28"/>
    <w:rsid w:val="00012447"/>
    <w:rsid w:val="00014A4B"/>
    <w:rsid w:val="00015D15"/>
    <w:rsid w:val="0002564D"/>
    <w:rsid w:val="00025ECA"/>
    <w:rsid w:val="00027097"/>
    <w:rsid w:val="0002786E"/>
    <w:rsid w:val="00032551"/>
    <w:rsid w:val="000325B8"/>
    <w:rsid w:val="00034C15"/>
    <w:rsid w:val="00035CAB"/>
    <w:rsid w:val="00036BA1"/>
    <w:rsid w:val="000419B1"/>
    <w:rsid w:val="000422E2"/>
    <w:rsid w:val="00042F22"/>
    <w:rsid w:val="0004412E"/>
    <w:rsid w:val="000444EF"/>
    <w:rsid w:val="000448E4"/>
    <w:rsid w:val="000475B8"/>
    <w:rsid w:val="00047F81"/>
    <w:rsid w:val="00052A07"/>
    <w:rsid w:val="000534E3"/>
    <w:rsid w:val="0005606A"/>
    <w:rsid w:val="00057117"/>
    <w:rsid w:val="000616E7"/>
    <w:rsid w:val="0006487E"/>
    <w:rsid w:val="00065E1A"/>
    <w:rsid w:val="00077E5F"/>
    <w:rsid w:val="0008036A"/>
    <w:rsid w:val="00081AE6"/>
    <w:rsid w:val="00082484"/>
    <w:rsid w:val="000855EB"/>
    <w:rsid w:val="00085B52"/>
    <w:rsid w:val="0008655C"/>
    <w:rsid w:val="000866F2"/>
    <w:rsid w:val="000867FE"/>
    <w:rsid w:val="0009009F"/>
    <w:rsid w:val="00091294"/>
    <w:rsid w:val="00091557"/>
    <w:rsid w:val="00091688"/>
    <w:rsid w:val="000924C1"/>
    <w:rsid w:val="000924F0"/>
    <w:rsid w:val="000926CC"/>
    <w:rsid w:val="00093054"/>
    <w:rsid w:val="00093266"/>
    <w:rsid w:val="00093474"/>
    <w:rsid w:val="0009510F"/>
    <w:rsid w:val="000A1B7B"/>
    <w:rsid w:val="000A24A1"/>
    <w:rsid w:val="000A50B2"/>
    <w:rsid w:val="000A56F2"/>
    <w:rsid w:val="000B2267"/>
    <w:rsid w:val="000B2719"/>
    <w:rsid w:val="000B3A8F"/>
    <w:rsid w:val="000B4AB9"/>
    <w:rsid w:val="000B58C3"/>
    <w:rsid w:val="000B61E9"/>
    <w:rsid w:val="000B78AB"/>
    <w:rsid w:val="000C165A"/>
    <w:rsid w:val="000C2554"/>
    <w:rsid w:val="000C2E19"/>
    <w:rsid w:val="000C6051"/>
    <w:rsid w:val="000D0D07"/>
    <w:rsid w:val="000D1100"/>
    <w:rsid w:val="000D4797"/>
    <w:rsid w:val="000E0527"/>
    <w:rsid w:val="000E15D3"/>
    <w:rsid w:val="000E1E92"/>
    <w:rsid w:val="000E275A"/>
    <w:rsid w:val="000F06D6"/>
    <w:rsid w:val="000F0C2A"/>
    <w:rsid w:val="000F0EB1"/>
    <w:rsid w:val="000F1106"/>
    <w:rsid w:val="000F3BE9"/>
    <w:rsid w:val="000F3F6C"/>
    <w:rsid w:val="000F6A99"/>
    <w:rsid w:val="000F6DF3"/>
    <w:rsid w:val="001005FF"/>
    <w:rsid w:val="001018C1"/>
    <w:rsid w:val="00103368"/>
    <w:rsid w:val="001062FB"/>
    <w:rsid w:val="001063E6"/>
    <w:rsid w:val="00113CF4"/>
    <w:rsid w:val="001153EA"/>
    <w:rsid w:val="00115643"/>
    <w:rsid w:val="00116765"/>
    <w:rsid w:val="00120676"/>
    <w:rsid w:val="001219F5"/>
    <w:rsid w:val="00121A20"/>
    <w:rsid w:val="0012326D"/>
    <w:rsid w:val="0012377F"/>
    <w:rsid w:val="00124314"/>
    <w:rsid w:val="001253A3"/>
    <w:rsid w:val="001266A1"/>
    <w:rsid w:val="00126B4A"/>
    <w:rsid w:val="001273E3"/>
    <w:rsid w:val="00132FD0"/>
    <w:rsid w:val="001344C0"/>
    <w:rsid w:val="001346FA"/>
    <w:rsid w:val="00135252"/>
    <w:rsid w:val="00137AB5"/>
    <w:rsid w:val="00137F0B"/>
    <w:rsid w:val="00146518"/>
    <w:rsid w:val="00151E23"/>
    <w:rsid w:val="001526E0"/>
    <w:rsid w:val="00152F6C"/>
    <w:rsid w:val="001551B5"/>
    <w:rsid w:val="001564A6"/>
    <w:rsid w:val="00164C14"/>
    <w:rsid w:val="001659C1"/>
    <w:rsid w:val="00173A8E"/>
    <w:rsid w:val="0017502C"/>
    <w:rsid w:val="00177823"/>
    <w:rsid w:val="0018113D"/>
    <w:rsid w:val="0018143F"/>
    <w:rsid w:val="00181E62"/>
    <w:rsid w:val="00181FF8"/>
    <w:rsid w:val="00183E05"/>
    <w:rsid w:val="00190AC1"/>
    <w:rsid w:val="0019341A"/>
    <w:rsid w:val="00194D7B"/>
    <w:rsid w:val="00196261"/>
    <w:rsid w:val="00197DF9"/>
    <w:rsid w:val="001A07FA"/>
    <w:rsid w:val="001A1987"/>
    <w:rsid w:val="001A1CDE"/>
    <w:rsid w:val="001A2564"/>
    <w:rsid w:val="001A6173"/>
    <w:rsid w:val="001A6CBA"/>
    <w:rsid w:val="001A7711"/>
    <w:rsid w:val="001B0D97"/>
    <w:rsid w:val="001B1875"/>
    <w:rsid w:val="001B38F3"/>
    <w:rsid w:val="001B5A5D"/>
    <w:rsid w:val="001C1CE5"/>
    <w:rsid w:val="001C21B8"/>
    <w:rsid w:val="001C3D2A"/>
    <w:rsid w:val="001D20A4"/>
    <w:rsid w:val="001D2A03"/>
    <w:rsid w:val="001D51BA"/>
    <w:rsid w:val="001D53E7"/>
    <w:rsid w:val="001D6342"/>
    <w:rsid w:val="001D6D53"/>
    <w:rsid w:val="001E06F0"/>
    <w:rsid w:val="001E18CC"/>
    <w:rsid w:val="001E5766"/>
    <w:rsid w:val="001E58E2"/>
    <w:rsid w:val="001E7AED"/>
    <w:rsid w:val="001F3916"/>
    <w:rsid w:val="001F4F41"/>
    <w:rsid w:val="001F4F59"/>
    <w:rsid w:val="001F54C5"/>
    <w:rsid w:val="001F662C"/>
    <w:rsid w:val="001F67CE"/>
    <w:rsid w:val="001F7074"/>
    <w:rsid w:val="00200490"/>
    <w:rsid w:val="002004A1"/>
    <w:rsid w:val="00201F3A"/>
    <w:rsid w:val="00202390"/>
    <w:rsid w:val="0020340C"/>
    <w:rsid w:val="00203F96"/>
    <w:rsid w:val="002041C4"/>
    <w:rsid w:val="002069B2"/>
    <w:rsid w:val="00207931"/>
    <w:rsid w:val="00207FA3"/>
    <w:rsid w:val="00211A76"/>
    <w:rsid w:val="00212562"/>
    <w:rsid w:val="00213A52"/>
    <w:rsid w:val="00213EE7"/>
    <w:rsid w:val="00214DA8"/>
    <w:rsid w:val="00215423"/>
    <w:rsid w:val="002158FA"/>
    <w:rsid w:val="00216EC1"/>
    <w:rsid w:val="00217B95"/>
    <w:rsid w:val="00217E46"/>
    <w:rsid w:val="00220600"/>
    <w:rsid w:val="00221C94"/>
    <w:rsid w:val="002224DB"/>
    <w:rsid w:val="00223FCB"/>
    <w:rsid w:val="002252C3"/>
    <w:rsid w:val="00225C54"/>
    <w:rsid w:val="002270E9"/>
    <w:rsid w:val="00227129"/>
    <w:rsid w:val="00227538"/>
    <w:rsid w:val="00230765"/>
    <w:rsid w:val="00230D18"/>
    <w:rsid w:val="002316D5"/>
    <w:rsid w:val="002319E4"/>
    <w:rsid w:val="00232969"/>
    <w:rsid w:val="002349C5"/>
    <w:rsid w:val="00235632"/>
    <w:rsid w:val="00235872"/>
    <w:rsid w:val="002374C3"/>
    <w:rsid w:val="00241559"/>
    <w:rsid w:val="002435B3"/>
    <w:rsid w:val="002442D1"/>
    <w:rsid w:val="00244A2B"/>
    <w:rsid w:val="002457C2"/>
    <w:rsid w:val="0024587B"/>
    <w:rsid w:val="002458EB"/>
    <w:rsid w:val="002500C8"/>
    <w:rsid w:val="00250551"/>
    <w:rsid w:val="00253CD8"/>
    <w:rsid w:val="00257543"/>
    <w:rsid w:val="002617E7"/>
    <w:rsid w:val="00264228"/>
    <w:rsid w:val="00264334"/>
    <w:rsid w:val="0026473E"/>
    <w:rsid w:val="00266214"/>
    <w:rsid w:val="00267372"/>
    <w:rsid w:val="00267C83"/>
    <w:rsid w:val="0027144F"/>
    <w:rsid w:val="00271813"/>
    <w:rsid w:val="00271F3A"/>
    <w:rsid w:val="0027244A"/>
    <w:rsid w:val="00273278"/>
    <w:rsid w:val="002737F4"/>
    <w:rsid w:val="00274035"/>
    <w:rsid w:val="00275C52"/>
    <w:rsid w:val="002805F5"/>
    <w:rsid w:val="00280751"/>
    <w:rsid w:val="00280FAD"/>
    <w:rsid w:val="0028280A"/>
    <w:rsid w:val="00286ACD"/>
    <w:rsid w:val="00287838"/>
    <w:rsid w:val="002907B5"/>
    <w:rsid w:val="002921DC"/>
    <w:rsid w:val="00292EB7"/>
    <w:rsid w:val="002954EC"/>
    <w:rsid w:val="00296227"/>
    <w:rsid w:val="00296F44"/>
    <w:rsid w:val="0029750A"/>
    <w:rsid w:val="0029777D"/>
    <w:rsid w:val="002A055E"/>
    <w:rsid w:val="002A1D4E"/>
    <w:rsid w:val="002A2869"/>
    <w:rsid w:val="002A5311"/>
    <w:rsid w:val="002B0B17"/>
    <w:rsid w:val="002B16D2"/>
    <w:rsid w:val="002B24D6"/>
    <w:rsid w:val="002B2CB4"/>
    <w:rsid w:val="002B3625"/>
    <w:rsid w:val="002C41E6"/>
    <w:rsid w:val="002C4B5F"/>
    <w:rsid w:val="002D071A"/>
    <w:rsid w:val="002D0E3C"/>
    <w:rsid w:val="002D34B2"/>
    <w:rsid w:val="002D3B5B"/>
    <w:rsid w:val="002D3CE1"/>
    <w:rsid w:val="002D48B0"/>
    <w:rsid w:val="002D5B37"/>
    <w:rsid w:val="002D7637"/>
    <w:rsid w:val="002E109D"/>
    <w:rsid w:val="002E17F2"/>
    <w:rsid w:val="002E2523"/>
    <w:rsid w:val="002E59F5"/>
    <w:rsid w:val="002E7CAE"/>
    <w:rsid w:val="002F175E"/>
    <w:rsid w:val="002F2771"/>
    <w:rsid w:val="002F37A9"/>
    <w:rsid w:val="002F3A52"/>
    <w:rsid w:val="003001CA"/>
    <w:rsid w:val="00301CE6"/>
    <w:rsid w:val="0030256B"/>
    <w:rsid w:val="0030501F"/>
    <w:rsid w:val="003055FC"/>
    <w:rsid w:val="00305F5E"/>
    <w:rsid w:val="00307BA1"/>
    <w:rsid w:val="00310E33"/>
    <w:rsid w:val="00311702"/>
    <w:rsid w:val="00311E82"/>
    <w:rsid w:val="00312A1C"/>
    <w:rsid w:val="003132A2"/>
    <w:rsid w:val="00313FD6"/>
    <w:rsid w:val="003143BD"/>
    <w:rsid w:val="00315363"/>
    <w:rsid w:val="003203ED"/>
    <w:rsid w:val="00322BEE"/>
    <w:rsid w:val="00322C9F"/>
    <w:rsid w:val="00324D23"/>
    <w:rsid w:val="00331751"/>
    <w:rsid w:val="003329ED"/>
    <w:rsid w:val="00332C35"/>
    <w:rsid w:val="00334579"/>
    <w:rsid w:val="00335858"/>
    <w:rsid w:val="00336565"/>
    <w:rsid w:val="00336BDA"/>
    <w:rsid w:val="00340818"/>
    <w:rsid w:val="003423D8"/>
    <w:rsid w:val="00342BD7"/>
    <w:rsid w:val="00345260"/>
    <w:rsid w:val="00345FFE"/>
    <w:rsid w:val="00346DB5"/>
    <w:rsid w:val="003477B1"/>
    <w:rsid w:val="003512F3"/>
    <w:rsid w:val="00354811"/>
    <w:rsid w:val="00356C03"/>
    <w:rsid w:val="00357380"/>
    <w:rsid w:val="003602D9"/>
    <w:rsid w:val="003604CE"/>
    <w:rsid w:val="003616E1"/>
    <w:rsid w:val="00366E40"/>
    <w:rsid w:val="00370E47"/>
    <w:rsid w:val="003742AC"/>
    <w:rsid w:val="00377CE1"/>
    <w:rsid w:val="00377D51"/>
    <w:rsid w:val="003824CB"/>
    <w:rsid w:val="00385BF0"/>
    <w:rsid w:val="003939FF"/>
    <w:rsid w:val="00395052"/>
    <w:rsid w:val="003A116D"/>
    <w:rsid w:val="003A2223"/>
    <w:rsid w:val="003A2A0F"/>
    <w:rsid w:val="003A45A1"/>
    <w:rsid w:val="003A54DF"/>
    <w:rsid w:val="003A5B0A"/>
    <w:rsid w:val="003A5E02"/>
    <w:rsid w:val="003A6BAC"/>
    <w:rsid w:val="003A70A4"/>
    <w:rsid w:val="003A7EF3"/>
    <w:rsid w:val="003B052C"/>
    <w:rsid w:val="003B0F41"/>
    <w:rsid w:val="003B159C"/>
    <w:rsid w:val="003B369F"/>
    <w:rsid w:val="003B36A3"/>
    <w:rsid w:val="003B64BB"/>
    <w:rsid w:val="003B7E59"/>
    <w:rsid w:val="003B7FE5"/>
    <w:rsid w:val="003C11C8"/>
    <w:rsid w:val="003C2702"/>
    <w:rsid w:val="003C7806"/>
    <w:rsid w:val="003D109F"/>
    <w:rsid w:val="003D2025"/>
    <w:rsid w:val="003D2478"/>
    <w:rsid w:val="003D2E55"/>
    <w:rsid w:val="003D33E6"/>
    <w:rsid w:val="003D3C45"/>
    <w:rsid w:val="003D4784"/>
    <w:rsid w:val="003D5880"/>
    <w:rsid w:val="003D5B1F"/>
    <w:rsid w:val="003D6889"/>
    <w:rsid w:val="003E15FA"/>
    <w:rsid w:val="003E45B3"/>
    <w:rsid w:val="003E55E4"/>
    <w:rsid w:val="003E5ABC"/>
    <w:rsid w:val="003E74E3"/>
    <w:rsid w:val="003F05C7"/>
    <w:rsid w:val="003F2CD4"/>
    <w:rsid w:val="003F5836"/>
    <w:rsid w:val="003F58F2"/>
    <w:rsid w:val="003F6BBE"/>
    <w:rsid w:val="004000E8"/>
    <w:rsid w:val="00401B8C"/>
    <w:rsid w:val="004025F6"/>
    <w:rsid w:val="0040269E"/>
    <w:rsid w:val="00402E2B"/>
    <w:rsid w:val="00402F16"/>
    <w:rsid w:val="0040512B"/>
    <w:rsid w:val="00405CA5"/>
    <w:rsid w:val="00407CD3"/>
    <w:rsid w:val="00410134"/>
    <w:rsid w:val="00410B72"/>
    <w:rsid w:val="00410F18"/>
    <w:rsid w:val="0041263E"/>
    <w:rsid w:val="004131BF"/>
    <w:rsid w:val="00413AAC"/>
    <w:rsid w:val="00413E92"/>
    <w:rsid w:val="00414E94"/>
    <w:rsid w:val="00417E1D"/>
    <w:rsid w:val="00421105"/>
    <w:rsid w:val="004217BA"/>
    <w:rsid w:val="00421D90"/>
    <w:rsid w:val="00422AA4"/>
    <w:rsid w:val="004242F4"/>
    <w:rsid w:val="00424902"/>
    <w:rsid w:val="00425A72"/>
    <w:rsid w:val="00425C87"/>
    <w:rsid w:val="00427248"/>
    <w:rsid w:val="00437447"/>
    <w:rsid w:val="00441A92"/>
    <w:rsid w:val="004431DC"/>
    <w:rsid w:val="00444206"/>
    <w:rsid w:val="00444F56"/>
    <w:rsid w:val="00446488"/>
    <w:rsid w:val="004517AA"/>
    <w:rsid w:val="00451968"/>
    <w:rsid w:val="004520CA"/>
    <w:rsid w:val="00452369"/>
    <w:rsid w:val="00452CAC"/>
    <w:rsid w:val="0045343B"/>
    <w:rsid w:val="00455718"/>
    <w:rsid w:val="00455EC7"/>
    <w:rsid w:val="00457565"/>
    <w:rsid w:val="00457B71"/>
    <w:rsid w:val="00460802"/>
    <w:rsid w:val="00461353"/>
    <w:rsid w:val="004655EF"/>
    <w:rsid w:val="004669E2"/>
    <w:rsid w:val="00470C2F"/>
    <w:rsid w:val="00470C31"/>
    <w:rsid w:val="00471B77"/>
    <w:rsid w:val="00471DE0"/>
    <w:rsid w:val="004734D0"/>
    <w:rsid w:val="0047556B"/>
    <w:rsid w:val="00477768"/>
    <w:rsid w:val="00477EF9"/>
    <w:rsid w:val="0048095C"/>
    <w:rsid w:val="00480DC5"/>
    <w:rsid w:val="0048452C"/>
    <w:rsid w:val="00491745"/>
    <w:rsid w:val="00491E34"/>
    <w:rsid w:val="00492BC5"/>
    <w:rsid w:val="0049536A"/>
    <w:rsid w:val="00495BC1"/>
    <w:rsid w:val="004964F1"/>
    <w:rsid w:val="004A16BC"/>
    <w:rsid w:val="004A2B94"/>
    <w:rsid w:val="004A3D75"/>
    <w:rsid w:val="004A3F69"/>
    <w:rsid w:val="004B0A4D"/>
    <w:rsid w:val="004B2BF8"/>
    <w:rsid w:val="004B6F6A"/>
    <w:rsid w:val="004B7C0C"/>
    <w:rsid w:val="004B7D88"/>
    <w:rsid w:val="004C0CF9"/>
    <w:rsid w:val="004C3898"/>
    <w:rsid w:val="004D1DD8"/>
    <w:rsid w:val="004D36B1"/>
    <w:rsid w:val="004D651D"/>
    <w:rsid w:val="004D7EBD"/>
    <w:rsid w:val="004E2680"/>
    <w:rsid w:val="004E26DB"/>
    <w:rsid w:val="004E28F9"/>
    <w:rsid w:val="004E34D5"/>
    <w:rsid w:val="004E4188"/>
    <w:rsid w:val="004E44A5"/>
    <w:rsid w:val="004E462E"/>
    <w:rsid w:val="004E56DC"/>
    <w:rsid w:val="004E6F64"/>
    <w:rsid w:val="004E7317"/>
    <w:rsid w:val="004E76F4"/>
    <w:rsid w:val="004F071F"/>
    <w:rsid w:val="004F0A93"/>
    <w:rsid w:val="004F0B4E"/>
    <w:rsid w:val="004F0B6C"/>
    <w:rsid w:val="004F2078"/>
    <w:rsid w:val="004F4DA3"/>
    <w:rsid w:val="004F50CD"/>
    <w:rsid w:val="00502F8E"/>
    <w:rsid w:val="00506557"/>
    <w:rsid w:val="0050677A"/>
    <w:rsid w:val="005108D8"/>
    <w:rsid w:val="005116F9"/>
    <w:rsid w:val="00511B78"/>
    <w:rsid w:val="005123DE"/>
    <w:rsid w:val="005128C1"/>
    <w:rsid w:val="005137E5"/>
    <w:rsid w:val="00515068"/>
    <w:rsid w:val="005153A7"/>
    <w:rsid w:val="00521301"/>
    <w:rsid w:val="0052140B"/>
    <w:rsid w:val="005219CF"/>
    <w:rsid w:val="00521F9B"/>
    <w:rsid w:val="005237B1"/>
    <w:rsid w:val="005328A3"/>
    <w:rsid w:val="00532F8E"/>
    <w:rsid w:val="00532FCB"/>
    <w:rsid w:val="00534B59"/>
    <w:rsid w:val="00536109"/>
    <w:rsid w:val="00536759"/>
    <w:rsid w:val="00537C62"/>
    <w:rsid w:val="00546970"/>
    <w:rsid w:val="00546985"/>
    <w:rsid w:val="00547C0C"/>
    <w:rsid w:val="00552D05"/>
    <w:rsid w:val="00553BC2"/>
    <w:rsid w:val="00553DAE"/>
    <w:rsid w:val="00554E19"/>
    <w:rsid w:val="00560AE2"/>
    <w:rsid w:val="0056121F"/>
    <w:rsid w:val="005616A3"/>
    <w:rsid w:val="00562A39"/>
    <w:rsid w:val="00570033"/>
    <w:rsid w:val="00571669"/>
    <w:rsid w:val="00572505"/>
    <w:rsid w:val="00573A76"/>
    <w:rsid w:val="00577A85"/>
    <w:rsid w:val="00581EF8"/>
    <w:rsid w:val="00582809"/>
    <w:rsid w:val="005854A9"/>
    <w:rsid w:val="005869A7"/>
    <w:rsid w:val="0058798C"/>
    <w:rsid w:val="005900FA"/>
    <w:rsid w:val="005904B2"/>
    <w:rsid w:val="00592D8A"/>
    <w:rsid w:val="005935A4"/>
    <w:rsid w:val="0059453F"/>
    <w:rsid w:val="005948C2"/>
    <w:rsid w:val="00595DCA"/>
    <w:rsid w:val="005967B2"/>
    <w:rsid w:val="0059779B"/>
    <w:rsid w:val="005A209A"/>
    <w:rsid w:val="005A46FF"/>
    <w:rsid w:val="005A662D"/>
    <w:rsid w:val="005B0609"/>
    <w:rsid w:val="005B1409"/>
    <w:rsid w:val="005B1927"/>
    <w:rsid w:val="005B35D7"/>
    <w:rsid w:val="005B392A"/>
    <w:rsid w:val="005B3AA3"/>
    <w:rsid w:val="005B3B84"/>
    <w:rsid w:val="005B4DB2"/>
    <w:rsid w:val="005B6F83"/>
    <w:rsid w:val="005C4390"/>
    <w:rsid w:val="005C492D"/>
    <w:rsid w:val="005C74FB"/>
    <w:rsid w:val="005C7540"/>
    <w:rsid w:val="005D0CFE"/>
    <w:rsid w:val="005D1602"/>
    <w:rsid w:val="005D1DDC"/>
    <w:rsid w:val="005D552D"/>
    <w:rsid w:val="005E0E28"/>
    <w:rsid w:val="005E385F"/>
    <w:rsid w:val="005E5B81"/>
    <w:rsid w:val="005E7B31"/>
    <w:rsid w:val="005F2CB1"/>
    <w:rsid w:val="005F2E81"/>
    <w:rsid w:val="005F3025"/>
    <w:rsid w:val="005F618C"/>
    <w:rsid w:val="005F70BD"/>
    <w:rsid w:val="00600429"/>
    <w:rsid w:val="0060283C"/>
    <w:rsid w:val="00603B2E"/>
    <w:rsid w:val="006043E2"/>
    <w:rsid w:val="00604F14"/>
    <w:rsid w:val="0060519C"/>
    <w:rsid w:val="006056D8"/>
    <w:rsid w:val="00607D9B"/>
    <w:rsid w:val="006108D7"/>
    <w:rsid w:val="00611B83"/>
    <w:rsid w:val="006125FD"/>
    <w:rsid w:val="00613257"/>
    <w:rsid w:val="00614006"/>
    <w:rsid w:val="00614F39"/>
    <w:rsid w:val="00620A71"/>
    <w:rsid w:val="00620D80"/>
    <w:rsid w:val="006234A6"/>
    <w:rsid w:val="0062351A"/>
    <w:rsid w:val="0062667F"/>
    <w:rsid w:val="00630001"/>
    <w:rsid w:val="006311B3"/>
    <w:rsid w:val="0063284C"/>
    <w:rsid w:val="00633545"/>
    <w:rsid w:val="00633A48"/>
    <w:rsid w:val="00636398"/>
    <w:rsid w:val="006368D3"/>
    <w:rsid w:val="006377EC"/>
    <w:rsid w:val="006402E9"/>
    <w:rsid w:val="0064151F"/>
    <w:rsid w:val="00641533"/>
    <w:rsid w:val="0064208D"/>
    <w:rsid w:val="00643475"/>
    <w:rsid w:val="0064396A"/>
    <w:rsid w:val="006446D8"/>
    <w:rsid w:val="0064624E"/>
    <w:rsid w:val="00650AB9"/>
    <w:rsid w:val="00653D5D"/>
    <w:rsid w:val="00654069"/>
    <w:rsid w:val="00655733"/>
    <w:rsid w:val="00655ACD"/>
    <w:rsid w:val="00656A92"/>
    <w:rsid w:val="00656DDE"/>
    <w:rsid w:val="0066011D"/>
    <w:rsid w:val="006607C0"/>
    <w:rsid w:val="00661065"/>
    <w:rsid w:val="006613A6"/>
    <w:rsid w:val="006618F3"/>
    <w:rsid w:val="006627A2"/>
    <w:rsid w:val="006634E6"/>
    <w:rsid w:val="00663986"/>
    <w:rsid w:val="006642D2"/>
    <w:rsid w:val="006655EE"/>
    <w:rsid w:val="00667EE7"/>
    <w:rsid w:val="00670922"/>
    <w:rsid w:val="00670BE1"/>
    <w:rsid w:val="006713AC"/>
    <w:rsid w:val="00671501"/>
    <w:rsid w:val="0067218F"/>
    <w:rsid w:val="006741F2"/>
    <w:rsid w:val="00674CC3"/>
    <w:rsid w:val="00674F11"/>
    <w:rsid w:val="00675045"/>
    <w:rsid w:val="00675148"/>
    <w:rsid w:val="00675C72"/>
    <w:rsid w:val="006771F9"/>
    <w:rsid w:val="006776D7"/>
    <w:rsid w:val="00677EF5"/>
    <w:rsid w:val="006802A4"/>
    <w:rsid w:val="00681003"/>
    <w:rsid w:val="006817C9"/>
    <w:rsid w:val="00681EF2"/>
    <w:rsid w:val="00683ECE"/>
    <w:rsid w:val="00690242"/>
    <w:rsid w:val="00695FC2"/>
    <w:rsid w:val="00696949"/>
    <w:rsid w:val="00697052"/>
    <w:rsid w:val="006977DB"/>
    <w:rsid w:val="00697997"/>
    <w:rsid w:val="006A13FA"/>
    <w:rsid w:val="006A46FB"/>
    <w:rsid w:val="006A5E28"/>
    <w:rsid w:val="006A697B"/>
    <w:rsid w:val="006A7AFF"/>
    <w:rsid w:val="006A7FD4"/>
    <w:rsid w:val="006B044E"/>
    <w:rsid w:val="006B1816"/>
    <w:rsid w:val="006B1C42"/>
    <w:rsid w:val="006B2099"/>
    <w:rsid w:val="006B50CF"/>
    <w:rsid w:val="006B6112"/>
    <w:rsid w:val="006C03B8"/>
    <w:rsid w:val="006C529F"/>
    <w:rsid w:val="006C59F4"/>
    <w:rsid w:val="006C5EC9"/>
    <w:rsid w:val="006C6059"/>
    <w:rsid w:val="006C6D38"/>
    <w:rsid w:val="006C7522"/>
    <w:rsid w:val="006C78F7"/>
    <w:rsid w:val="006D3DA9"/>
    <w:rsid w:val="006D5B6D"/>
    <w:rsid w:val="006D664C"/>
    <w:rsid w:val="006D671E"/>
    <w:rsid w:val="006D6F08"/>
    <w:rsid w:val="006E062C"/>
    <w:rsid w:val="006E1C82"/>
    <w:rsid w:val="006E28B7"/>
    <w:rsid w:val="006E2A9B"/>
    <w:rsid w:val="006E3310"/>
    <w:rsid w:val="006E4191"/>
    <w:rsid w:val="006E4E39"/>
    <w:rsid w:val="006E565E"/>
    <w:rsid w:val="006E673D"/>
    <w:rsid w:val="006E7D3B"/>
    <w:rsid w:val="006F1B70"/>
    <w:rsid w:val="006F341D"/>
    <w:rsid w:val="006F3CDE"/>
    <w:rsid w:val="006F4160"/>
    <w:rsid w:val="006F58D4"/>
    <w:rsid w:val="006F6582"/>
    <w:rsid w:val="0070346E"/>
    <w:rsid w:val="007039BF"/>
    <w:rsid w:val="00704EDB"/>
    <w:rsid w:val="00706101"/>
    <w:rsid w:val="00707072"/>
    <w:rsid w:val="00707823"/>
    <w:rsid w:val="00707D61"/>
    <w:rsid w:val="00710867"/>
    <w:rsid w:val="00712287"/>
    <w:rsid w:val="00712772"/>
    <w:rsid w:val="007148D3"/>
    <w:rsid w:val="00715B9A"/>
    <w:rsid w:val="00716043"/>
    <w:rsid w:val="00717F51"/>
    <w:rsid w:val="007208C1"/>
    <w:rsid w:val="00720BC3"/>
    <w:rsid w:val="0072132E"/>
    <w:rsid w:val="00722CFE"/>
    <w:rsid w:val="00723412"/>
    <w:rsid w:val="00723A9E"/>
    <w:rsid w:val="00724697"/>
    <w:rsid w:val="007257D0"/>
    <w:rsid w:val="00726EA6"/>
    <w:rsid w:val="00727208"/>
    <w:rsid w:val="007274F7"/>
    <w:rsid w:val="00727680"/>
    <w:rsid w:val="00730EB6"/>
    <w:rsid w:val="007348B1"/>
    <w:rsid w:val="007362A6"/>
    <w:rsid w:val="00736D7D"/>
    <w:rsid w:val="00740E58"/>
    <w:rsid w:val="007445A0"/>
    <w:rsid w:val="0074524B"/>
    <w:rsid w:val="0074726E"/>
    <w:rsid w:val="0074771F"/>
    <w:rsid w:val="00747D8B"/>
    <w:rsid w:val="00751228"/>
    <w:rsid w:val="0075495B"/>
    <w:rsid w:val="007571E1"/>
    <w:rsid w:val="00757A16"/>
    <w:rsid w:val="007604B2"/>
    <w:rsid w:val="00760ECA"/>
    <w:rsid w:val="00762BB0"/>
    <w:rsid w:val="007638E8"/>
    <w:rsid w:val="00764EAF"/>
    <w:rsid w:val="00765281"/>
    <w:rsid w:val="0076604E"/>
    <w:rsid w:val="00766967"/>
    <w:rsid w:val="00766BAD"/>
    <w:rsid w:val="00767DFA"/>
    <w:rsid w:val="007729A2"/>
    <w:rsid w:val="007755F2"/>
    <w:rsid w:val="00776971"/>
    <w:rsid w:val="0077720C"/>
    <w:rsid w:val="0078054F"/>
    <w:rsid w:val="00780A80"/>
    <w:rsid w:val="00780AEA"/>
    <w:rsid w:val="0078177E"/>
    <w:rsid w:val="0078304C"/>
    <w:rsid w:val="00783673"/>
    <w:rsid w:val="00785490"/>
    <w:rsid w:val="00785B6F"/>
    <w:rsid w:val="0078645C"/>
    <w:rsid w:val="007876BD"/>
    <w:rsid w:val="00791415"/>
    <w:rsid w:val="007921EE"/>
    <w:rsid w:val="007925EA"/>
    <w:rsid w:val="00793CD8"/>
    <w:rsid w:val="00795230"/>
    <w:rsid w:val="00795C92"/>
    <w:rsid w:val="00796231"/>
    <w:rsid w:val="007964C9"/>
    <w:rsid w:val="007A1CB3"/>
    <w:rsid w:val="007A27E3"/>
    <w:rsid w:val="007A306F"/>
    <w:rsid w:val="007A339B"/>
    <w:rsid w:val="007A43A6"/>
    <w:rsid w:val="007A58A6"/>
    <w:rsid w:val="007A719C"/>
    <w:rsid w:val="007B3D2D"/>
    <w:rsid w:val="007B4212"/>
    <w:rsid w:val="007B4E93"/>
    <w:rsid w:val="007B50AE"/>
    <w:rsid w:val="007B51DF"/>
    <w:rsid w:val="007B546F"/>
    <w:rsid w:val="007B5C3E"/>
    <w:rsid w:val="007B6D52"/>
    <w:rsid w:val="007C05DD"/>
    <w:rsid w:val="007C260E"/>
    <w:rsid w:val="007C3D18"/>
    <w:rsid w:val="007C60BF"/>
    <w:rsid w:val="007C60D8"/>
    <w:rsid w:val="007C6A07"/>
    <w:rsid w:val="007C75A1"/>
    <w:rsid w:val="007C77A5"/>
    <w:rsid w:val="007D04E5"/>
    <w:rsid w:val="007D336C"/>
    <w:rsid w:val="007D3DBD"/>
    <w:rsid w:val="007D509B"/>
    <w:rsid w:val="007D53CE"/>
    <w:rsid w:val="007D5901"/>
    <w:rsid w:val="007D7526"/>
    <w:rsid w:val="007D76D4"/>
    <w:rsid w:val="007E3635"/>
    <w:rsid w:val="007E4610"/>
    <w:rsid w:val="007E4715"/>
    <w:rsid w:val="007E4FD8"/>
    <w:rsid w:val="007E505B"/>
    <w:rsid w:val="007E5356"/>
    <w:rsid w:val="007E586D"/>
    <w:rsid w:val="007E5B5E"/>
    <w:rsid w:val="007E7091"/>
    <w:rsid w:val="007E7CE2"/>
    <w:rsid w:val="007F0831"/>
    <w:rsid w:val="007F5A1A"/>
    <w:rsid w:val="008013F2"/>
    <w:rsid w:val="008029B0"/>
    <w:rsid w:val="00803FAE"/>
    <w:rsid w:val="0080605F"/>
    <w:rsid w:val="00807786"/>
    <w:rsid w:val="0081154B"/>
    <w:rsid w:val="00811605"/>
    <w:rsid w:val="00811FCB"/>
    <w:rsid w:val="00813561"/>
    <w:rsid w:val="008158D6"/>
    <w:rsid w:val="00815A83"/>
    <w:rsid w:val="00815F40"/>
    <w:rsid w:val="00817196"/>
    <w:rsid w:val="00817A2B"/>
    <w:rsid w:val="008235DB"/>
    <w:rsid w:val="00824AB4"/>
    <w:rsid w:val="00825C42"/>
    <w:rsid w:val="00825D25"/>
    <w:rsid w:val="00827B3B"/>
    <w:rsid w:val="00827D6F"/>
    <w:rsid w:val="008302C2"/>
    <w:rsid w:val="00833008"/>
    <w:rsid w:val="008376AC"/>
    <w:rsid w:val="00841A90"/>
    <w:rsid w:val="008444E8"/>
    <w:rsid w:val="00844E80"/>
    <w:rsid w:val="00846FE7"/>
    <w:rsid w:val="00851C78"/>
    <w:rsid w:val="00856911"/>
    <w:rsid w:val="0086405F"/>
    <w:rsid w:val="008647D7"/>
    <w:rsid w:val="00866EA3"/>
    <w:rsid w:val="008677FD"/>
    <w:rsid w:val="008706D4"/>
    <w:rsid w:val="00870A17"/>
    <w:rsid w:val="00870F8A"/>
    <w:rsid w:val="008719A4"/>
    <w:rsid w:val="00871D23"/>
    <w:rsid w:val="00872916"/>
    <w:rsid w:val="00874312"/>
    <w:rsid w:val="0087437C"/>
    <w:rsid w:val="00875CD7"/>
    <w:rsid w:val="00876B4D"/>
    <w:rsid w:val="00877F18"/>
    <w:rsid w:val="008809D6"/>
    <w:rsid w:val="008830FF"/>
    <w:rsid w:val="00884E99"/>
    <w:rsid w:val="00885414"/>
    <w:rsid w:val="00885D4F"/>
    <w:rsid w:val="00890C02"/>
    <w:rsid w:val="00891705"/>
    <w:rsid w:val="008941E3"/>
    <w:rsid w:val="00894A88"/>
    <w:rsid w:val="008951AB"/>
    <w:rsid w:val="00895386"/>
    <w:rsid w:val="008A0FF4"/>
    <w:rsid w:val="008A1A4E"/>
    <w:rsid w:val="008A21FF"/>
    <w:rsid w:val="008A2CE2"/>
    <w:rsid w:val="008A30AC"/>
    <w:rsid w:val="008A44B8"/>
    <w:rsid w:val="008A51A8"/>
    <w:rsid w:val="008A54C7"/>
    <w:rsid w:val="008A77D8"/>
    <w:rsid w:val="008B0483"/>
    <w:rsid w:val="008B120C"/>
    <w:rsid w:val="008B318B"/>
    <w:rsid w:val="008B36B3"/>
    <w:rsid w:val="008B51A0"/>
    <w:rsid w:val="008B5553"/>
    <w:rsid w:val="008B592A"/>
    <w:rsid w:val="008B7531"/>
    <w:rsid w:val="008B7B5C"/>
    <w:rsid w:val="008C07D1"/>
    <w:rsid w:val="008C0C99"/>
    <w:rsid w:val="008C2017"/>
    <w:rsid w:val="008C214A"/>
    <w:rsid w:val="008C4958"/>
    <w:rsid w:val="008C4BAA"/>
    <w:rsid w:val="008C6AE8"/>
    <w:rsid w:val="008C7573"/>
    <w:rsid w:val="008D00A5"/>
    <w:rsid w:val="008D34F1"/>
    <w:rsid w:val="008D39D8"/>
    <w:rsid w:val="008D5B5A"/>
    <w:rsid w:val="008D64B3"/>
    <w:rsid w:val="008D6D1A"/>
    <w:rsid w:val="008E065E"/>
    <w:rsid w:val="008E0927"/>
    <w:rsid w:val="008E1909"/>
    <w:rsid w:val="008E2371"/>
    <w:rsid w:val="008E3203"/>
    <w:rsid w:val="008E4404"/>
    <w:rsid w:val="008E72A6"/>
    <w:rsid w:val="008F1C3F"/>
    <w:rsid w:val="008F1EAB"/>
    <w:rsid w:val="008F33DC"/>
    <w:rsid w:val="008F477F"/>
    <w:rsid w:val="008F788D"/>
    <w:rsid w:val="00902350"/>
    <w:rsid w:val="0090336B"/>
    <w:rsid w:val="00903AF2"/>
    <w:rsid w:val="009053AA"/>
    <w:rsid w:val="00906939"/>
    <w:rsid w:val="009076BF"/>
    <w:rsid w:val="00910B7D"/>
    <w:rsid w:val="00911DFB"/>
    <w:rsid w:val="009139D9"/>
    <w:rsid w:val="00913E94"/>
    <w:rsid w:val="009141EE"/>
    <w:rsid w:val="00914AD8"/>
    <w:rsid w:val="00915BC2"/>
    <w:rsid w:val="00916027"/>
    <w:rsid w:val="00916079"/>
    <w:rsid w:val="00917CE9"/>
    <w:rsid w:val="009203F6"/>
    <w:rsid w:val="00920BF2"/>
    <w:rsid w:val="00922010"/>
    <w:rsid w:val="00922118"/>
    <w:rsid w:val="0092283D"/>
    <w:rsid w:val="00924444"/>
    <w:rsid w:val="00925690"/>
    <w:rsid w:val="009275C6"/>
    <w:rsid w:val="009278F5"/>
    <w:rsid w:val="00927CD8"/>
    <w:rsid w:val="00930520"/>
    <w:rsid w:val="00930634"/>
    <w:rsid w:val="00930A8C"/>
    <w:rsid w:val="009314CC"/>
    <w:rsid w:val="00931BD9"/>
    <w:rsid w:val="00934EBB"/>
    <w:rsid w:val="00935607"/>
    <w:rsid w:val="00935A8B"/>
    <w:rsid w:val="009368F3"/>
    <w:rsid w:val="009406E6"/>
    <w:rsid w:val="00941636"/>
    <w:rsid w:val="0094328C"/>
    <w:rsid w:val="009436BF"/>
    <w:rsid w:val="00943742"/>
    <w:rsid w:val="0094377C"/>
    <w:rsid w:val="00945C05"/>
    <w:rsid w:val="00946945"/>
    <w:rsid w:val="00947713"/>
    <w:rsid w:val="00950DE7"/>
    <w:rsid w:val="00953920"/>
    <w:rsid w:val="00953D47"/>
    <w:rsid w:val="00954A7F"/>
    <w:rsid w:val="0095663F"/>
    <w:rsid w:val="0095681E"/>
    <w:rsid w:val="009572D4"/>
    <w:rsid w:val="00961921"/>
    <w:rsid w:val="00961B0E"/>
    <w:rsid w:val="0096430A"/>
    <w:rsid w:val="0096554B"/>
    <w:rsid w:val="0096584A"/>
    <w:rsid w:val="0096586D"/>
    <w:rsid w:val="00971F08"/>
    <w:rsid w:val="00973811"/>
    <w:rsid w:val="009738F8"/>
    <w:rsid w:val="0097603D"/>
    <w:rsid w:val="00976949"/>
    <w:rsid w:val="00977ADA"/>
    <w:rsid w:val="00980477"/>
    <w:rsid w:val="009814AB"/>
    <w:rsid w:val="00983C93"/>
    <w:rsid w:val="00984AE5"/>
    <w:rsid w:val="00985253"/>
    <w:rsid w:val="009853B3"/>
    <w:rsid w:val="00990076"/>
    <w:rsid w:val="00990630"/>
    <w:rsid w:val="00991761"/>
    <w:rsid w:val="00991BE8"/>
    <w:rsid w:val="0099222B"/>
    <w:rsid w:val="0099338A"/>
    <w:rsid w:val="00994DCA"/>
    <w:rsid w:val="009960EC"/>
    <w:rsid w:val="00996F95"/>
    <w:rsid w:val="009970DD"/>
    <w:rsid w:val="009A0FBA"/>
    <w:rsid w:val="009A1601"/>
    <w:rsid w:val="009A19F5"/>
    <w:rsid w:val="009A22CE"/>
    <w:rsid w:val="009A3BB6"/>
    <w:rsid w:val="009A3CAA"/>
    <w:rsid w:val="009A462D"/>
    <w:rsid w:val="009A5CBA"/>
    <w:rsid w:val="009A6C7A"/>
    <w:rsid w:val="009A7813"/>
    <w:rsid w:val="009B0506"/>
    <w:rsid w:val="009B1F30"/>
    <w:rsid w:val="009B3AC2"/>
    <w:rsid w:val="009B4DF4"/>
    <w:rsid w:val="009B564E"/>
    <w:rsid w:val="009B6E81"/>
    <w:rsid w:val="009B7281"/>
    <w:rsid w:val="009B7741"/>
    <w:rsid w:val="009B7E87"/>
    <w:rsid w:val="009C0169"/>
    <w:rsid w:val="009C2A15"/>
    <w:rsid w:val="009C348B"/>
    <w:rsid w:val="009C393B"/>
    <w:rsid w:val="009C403E"/>
    <w:rsid w:val="009C54BE"/>
    <w:rsid w:val="009D4FF0"/>
    <w:rsid w:val="009D5D37"/>
    <w:rsid w:val="009D6079"/>
    <w:rsid w:val="009D703C"/>
    <w:rsid w:val="009D718F"/>
    <w:rsid w:val="009E068F"/>
    <w:rsid w:val="009E14E0"/>
    <w:rsid w:val="009E2141"/>
    <w:rsid w:val="009E35DB"/>
    <w:rsid w:val="009E3F47"/>
    <w:rsid w:val="009E47A3"/>
    <w:rsid w:val="009E688A"/>
    <w:rsid w:val="009F08F3"/>
    <w:rsid w:val="009F344F"/>
    <w:rsid w:val="009F7CE3"/>
    <w:rsid w:val="00A02F9D"/>
    <w:rsid w:val="00A031D8"/>
    <w:rsid w:val="00A048A8"/>
    <w:rsid w:val="00A04F49"/>
    <w:rsid w:val="00A07C5A"/>
    <w:rsid w:val="00A12DF4"/>
    <w:rsid w:val="00A13C10"/>
    <w:rsid w:val="00A13E54"/>
    <w:rsid w:val="00A1584D"/>
    <w:rsid w:val="00A17F63"/>
    <w:rsid w:val="00A2193B"/>
    <w:rsid w:val="00A220E2"/>
    <w:rsid w:val="00A2351A"/>
    <w:rsid w:val="00A235CE"/>
    <w:rsid w:val="00A24D45"/>
    <w:rsid w:val="00A264A9"/>
    <w:rsid w:val="00A26DCF"/>
    <w:rsid w:val="00A27785"/>
    <w:rsid w:val="00A30187"/>
    <w:rsid w:val="00A3448A"/>
    <w:rsid w:val="00A36297"/>
    <w:rsid w:val="00A37547"/>
    <w:rsid w:val="00A40CEC"/>
    <w:rsid w:val="00A41E2B"/>
    <w:rsid w:val="00A45B74"/>
    <w:rsid w:val="00A47EBB"/>
    <w:rsid w:val="00A5125E"/>
    <w:rsid w:val="00A52E1D"/>
    <w:rsid w:val="00A54D32"/>
    <w:rsid w:val="00A56CCA"/>
    <w:rsid w:val="00A61499"/>
    <w:rsid w:val="00A62A77"/>
    <w:rsid w:val="00A63483"/>
    <w:rsid w:val="00A6470B"/>
    <w:rsid w:val="00A657D7"/>
    <w:rsid w:val="00A660AC"/>
    <w:rsid w:val="00A67E6C"/>
    <w:rsid w:val="00A71B99"/>
    <w:rsid w:val="00A739D0"/>
    <w:rsid w:val="00A73F8D"/>
    <w:rsid w:val="00A74A1C"/>
    <w:rsid w:val="00A75AB1"/>
    <w:rsid w:val="00A761D4"/>
    <w:rsid w:val="00A76A73"/>
    <w:rsid w:val="00A771B6"/>
    <w:rsid w:val="00A77EC4"/>
    <w:rsid w:val="00A8391A"/>
    <w:rsid w:val="00A9033B"/>
    <w:rsid w:val="00A90A33"/>
    <w:rsid w:val="00A92879"/>
    <w:rsid w:val="00A92C8E"/>
    <w:rsid w:val="00A9442A"/>
    <w:rsid w:val="00A9629A"/>
    <w:rsid w:val="00A96760"/>
    <w:rsid w:val="00AA016F"/>
    <w:rsid w:val="00AA1ED6"/>
    <w:rsid w:val="00AA51D6"/>
    <w:rsid w:val="00AB0BC8"/>
    <w:rsid w:val="00AB11CA"/>
    <w:rsid w:val="00AB14D9"/>
    <w:rsid w:val="00AB16D5"/>
    <w:rsid w:val="00AB41B1"/>
    <w:rsid w:val="00AB4AB8"/>
    <w:rsid w:val="00AB655E"/>
    <w:rsid w:val="00AB6B54"/>
    <w:rsid w:val="00AC007F"/>
    <w:rsid w:val="00AC2389"/>
    <w:rsid w:val="00AC2ECD"/>
    <w:rsid w:val="00AC3119"/>
    <w:rsid w:val="00AC49FB"/>
    <w:rsid w:val="00AC5A10"/>
    <w:rsid w:val="00AC72FA"/>
    <w:rsid w:val="00AD0AA3"/>
    <w:rsid w:val="00AD1EAB"/>
    <w:rsid w:val="00AD3F94"/>
    <w:rsid w:val="00AD4A5A"/>
    <w:rsid w:val="00AD79EA"/>
    <w:rsid w:val="00AD7B95"/>
    <w:rsid w:val="00AE068C"/>
    <w:rsid w:val="00AE1674"/>
    <w:rsid w:val="00AE27AC"/>
    <w:rsid w:val="00AE40E0"/>
    <w:rsid w:val="00AE4DBA"/>
    <w:rsid w:val="00AE4F07"/>
    <w:rsid w:val="00AE5B8A"/>
    <w:rsid w:val="00AF1970"/>
    <w:rsid w:val="00AF1C5D"/>
    <w:rsid w:val="00AF42D7"/>
    <w:rsid w:val="00AF6651"/>
    <w:rsid w:val="00AF7B22"/>
    <w:rsid w:val="00B006FE"/>
    <w:rsid w:val="00B007CB"/>
    <w:rsid w:val="00B00981"/>
    <w:rsid w:val="00B02AA9"/>
    <w:rsid w:val="00B02FA3"/>
    <w:rsid w:val="00B0469C"/>
    <w:rsid w:val="00B05084"/>
    <w:rsid w:val="00B059CC"/>
    <w:rsid w:val="00B102C9"/>
    <w:rsid w:val="00B10F16"/>
    <w:rsid w:val="00B11F28"/>
    <w:rsid w:val="00B157F9"/>
    <w:rsid w:val="00B20256"/>
    <w:rsid w:val="00B20D09"/>
    <w:rsid w:val="00B23CFC"/>
    <w:rsid w:val="00B24D05"/>
    <w:rsid w:val="00B25BE5"/>
    <w:rsid w:val="00B2763F"/>
    <w:rsid w:val="00B27AAC"/>
    <w:rsid w:val="00B30929"/>
    <w:rsid w:val="00B372AA"/>
    <w:rsid w:val="00B37A18"/>
    <w:rsid w:val="00B40445"/>
    <w:rsid w:val="00B409E0"/>
    <w:rsid w:val="00B41888"/>
    <w:rsid w:val="00B42977"/>
    <w:rsid w:val="00B45815"/>
    <w:rsid w:val="00B45961"/>
    <w:rsid w:val="00B45A52"/>
    <w:rsid w:val="00B46175"/>
    <w:rsid w:val="00B51158"/>
    <w:rsid w:val="00B548B7"/>
    <w:rsid w:val="00B57518"/>
    <w:rsid w:val="00B57C40"/>
    <w:rsid w:val="00B6018B"/>
    <w:rsid w:val="00B62A08"/>
    <w:rsid w:val="00B664C7"/>
    <w:rsid w:val="00B71647"/>
    <w:rsid w:val="00B739F6"/>
    <w:rsid w:val="00B75ABD"/>
    <w:rsid w:val="00B763FE"/>
    <w:rsid w:val="00B81A6C"/>
    <w:rsid w:val="00B837C4"/>
    <w:rsid w:val="00B84716"/>
    <w:rsid w:val="00B85DE5"/>
    <w:rsid w:val="00B90F73"/>
    <w:rsid w:val="00B93B59"/>
    <w:rsid w:val="00B9406A"/>
    <w:rsid w:val="00B95C76"/>
    <w:rsid w:val="00B95FE7"/>
    <w:rsid w:val="00BA2280"/>
    <w:rsid w:val="00BA2A08"/>
    <w:rsid w:val="00BA4EF0"/>
    <w:rsid w:val="00BA56D2"/>
    <w:rsid w:val="00BA76E0"/>
    <w:rsid w:val="00BB2260"/>
    <w:rsid w:val="00BB287D"/>
    <w:rsid w:val="00BB2A25"/>
    <w:rsid w:val="00BB406E"/>
    <w:rsid w:val="00BB4DFC"/>
    <w:rsid w:val="00BB51E9"/>
    <w:rsid w:val="00BB76D0"/>
    <w:rsid w:val="00BC0080"/>
    <w:rsid w:val="00BC0FDC"/>
    <w:rsid w:val="00BC1A0B"/>
    <w:rsid w:val="00BC3053"/>
    <w:rsid w:val="00BC4050"/>
    <w:rsid w:val="00BC4D2E"/>
    <w:rsid w:val="00BC7509"/>
    <w:rsid w:val="00BD48AC"/>
    <w:rsid w:val="00BD5F1A"/>
    <w:rsid w:val="00BE1234"/>
    <w:rsid w:val="00BE2121"/>
    <w:rsid w:val="00BE2FA6"/>
    <w:rsid w:val="00BE333F"/>
    <w:rsid w:val="00BE411C"/>
    <w:rsid w:val="00BE6A58"/>
    <w:rsid w:val="00BE7406"/>
    <w:rsid w:val="00BE7603"/>
    <w:rsid w:val="00BF3279"/>
    <w:rsid w:val="00BF3BE8"/>
    <w:rsid w:val="00BF74C7"/>
    <w:rsid w:val="00C00627"/>
    <w:rsid w:val="00C015F1"/>
    <w:rsid w:val="00C01F33"/>
    <w:rsid w:val="00C02CC6"/>
    <w:rsid w:val="00C040F7"/>
    <w:rsid w:val="00C044AB"/>
    <w:rsid w:val="00C05706"/>
    <w:rsid w:val="00C07377"/>
    <w:rsid w:val="00C10478"/>
    <w:rsid w:val="00C12107"/>
    <w:rsid w:val="00C14D4B"/>
    <w:rsid w:val="00C154BB"/>
    <w:rsid w:val="00C16B0B"/>
    <w:rsid w:val="00C17D3C"/>
    <w:rsid w:val="00C21286"/>
    <w:rsid w:val="00C22A63"/>
    <w:rsid w:val="00C268E6"/>
    <w:rsid w:val="00C26B49"/>
    <w:rsid w:val="00C279B5"/>
    <w:rsid w:val="00C27C45"/>
    <w:rsid w:val="00C340F1"/>
    <w:rsid w:val="00C3719D"/>
    <w:rsid w:val="00C37CB2"/>
    <w:rsid w:val="00C433C9"/>
    <w:rsid w:val="00C44614"/>
    <w:rsid w:val="00C4705A"/>
    <w:rsid w:val="00C473A5"/>
    <w:rsid w:val="00C50473"/>
    <w:rsid w:val="00C5396F"/>
    <w:rsid w:val="00C54995"/>
    <w:rsid w:val="00C54D41"/>
    <w:rsid w:val="00C56944"/>
    <w:rsid w:val="00C60783"/>
    <w:rsid w:val="00C62F25"/>
    <w:rsid w:val="00C64538"/>
    <w:rsid w:val="00C64672"/>
    <w:rsid w:val="00C70697"/>
    <w:rsid w:val="00C72093"/>
    <w:rsid w:val="00C72EF4"/>
    <w:rsid w:val="00C74397"/>
    <w:rsid w:val="00C744FE"/>
    <w:rsid w:val="00C75D2F"/>
    <w:rsid w:val="00C767BE"/>
    <w:rsid w:val="00C76E3C"/>
    <w:rsid w:val="00C81077"/>
    <w:rsid w:val="00C81568"/>
    <w:rsid w:val="00C8784F"/>
    <w:rsid w:val="00C9027A"/>
    <w:rsid w:val="00C9068E"/>
    <w:rsid w:val="00C93814"/>
    <w:rsid w:val="00C93AC3"/>
    <w:rsid w:val="00C93C4B"/>
    <w:rsid w:val="00C944AB"/>
    <w:rsid w:val="00C95725"/>
    <w:rsid w:val="00C95B40"/>
    <w:rsid w:val="00CA1ED8"/>
    <w:rsid w:val="00CA3819"/>
    <w:rsid w:val="00CA5D4C"/>
    <w:rsid w:val="00CB0692"/>
    <w:rsid w:val="00CB1F63"/>
    <w:rsid w:val="00CB7170"/>
    <w:rsid w:val="00CC040E"/>
    <w:rsid w:val="00CC111F"/>
    <w:rsid w:val="00CC2011"/>
    <w:rsid w:val="00CC3EA0"/>
    <w:rsid w:val="00CC7B45"/>
    <w:rsid w:val="00CC7C0D"/>
    <w:rsid w:val="00CD07E0"/>
    <w:rsid w:val="00CD0F32"/>
    <w:rsid w:val="00CD1188"/>
    <w:rsid w:val="00CD2ED1"/>
    <w:rsid w:val="00CD337B"/>
    <w:rsid w:val="00CD3735"/>
    <w:rsid w:val="00CD3AE3"/>
    <w:rsid w:val="00CD4682"/>
    <w:rsid w:val="00CE0368"/>
    <w:rsid w:val="00CE0424"/>
    <w:rsid w:val="00CE198D"/>
    <w:rsid w:val="00CE7561"/>
    <w:rsid w:val="00CF01DF"/>
    <w:rsid w:val="00CF0E7F"/>
    <w:rsid w:val="00CF1354"/>
    <w:rsid w:val="00CF16F0"/>
    <w:rsid w:val="00CF3B1F"/>
    <w:rsid w:val="00CF3BF6"/>
    <w:rsid w:val="00CF4716"/>
    <w:rsid w:val="00CF625B"/>
    <w:rsid w:val="00CF687E"/>
    <w:rsid w:val="00CF7B77"/>
    <w:rsid w:val="00D0349B"/>
    <w:rsid w:val="00D03859"/>
    <w:rsid w:val="00D05C52"/>
    <w:rsid w:val="00D10249"/>
    <w:rsid w:val="00D115C3"/>
    <w:rsid w:val="00D11897"/>
    <w:rsid w:val="00D129F5"/>
    <w:rsid w:val="00D13135"/>
    <w:rsid w:val="00D13E4E"/>
    <w:rsid w:val="00D239A7"/>
    <w:rsid w:val="00D23F47"/>
    <w:rsid w:val="00D2609E"/>
    <w:rsid w:val="00D305B5"/>
    <w:rsid w:val="00D32CF6"/>
    <w:rsid w:val="00D36E71"/>
    <w:rsid w:val="00D37D87"/>
    <w:rsid w:val="00D40B33"/>
    <w:rsid w:val="00D41F59"/>
    <w:rsid w:val="00D4318F"/>
    <w:rsid w:val="00D438BF"/>
    <w:rsid w:val="00D440F8"/>
    <w:rsid w:val="00D505D5"/>
    <w:rsid w:val="00D50F20"/>
    <w:rsid w:val="00D53A29"/>
    <w:rsid w:val="00D53EDB"/>
    <w:rsid w:val="00D546FF"/>
    <w:rsid w:val="00D55868"/>
    <w:rsid w:val="00D55AD5"/>
    <w:rsid w:val="00D56CD8"/>
    <w:rsid w:val="00D576CA"/>
    <w:rsid w:val="00D61AF5"/>
    <w:rsid w:val="00D652B5"/>
    <w:rsid w:val="00D65D7B"/>
    <w:rsid w:val="00D66155"/>
    <w:rsid w:val="00D708B0"/>
    <w:rsid w:val="00D70D48"/>
    <w:rsid w:val="00D73CC6"/>
    <w:rsid w:val="00D74DF8"/>
    <w:rsid w:val="00D76400"/>
    <w:rsid w:val="00D76401"/>
    <w:rsid w:val="00D77B1D"/>
    <w:rsid w:val="00D8021F"/>
    <w:rsid w:val="00D80383"/>
    <w:rsid w:val="00D823C6"/>
    <w:rsid w:val="00D827B8"/>
    <w:rsid w:val="00D8327F"/>
    <w:rsid w:val="00D86CA3"/>
    <w:rsid w:val="00D871CE"/>
    <w:rsid w:val="00D9196D"/>
    <w:rsid w:val="00D92982"/>
    <w:rsid w:val="00D95014"/>
    <w:rsid w:val="00DA0214"/>
    <w:rsid w:val="00DA05B6"/>
    <w:rsid w:val="00DA05CC"/>
    <w:rsid w:val="00DA2DE3"/>
    <w:rsid w:val="00DA305E"/>
    <w:rsid w:val="00DA51A1"/>
    <w:rsid w:val="00DA5417"/>
    <w:rsid w:val="00DA56E8"/>
    <w:rsid w:val="00DA7802"/>
    <w:rsid w:val="00DB0A9F"/>
    <w:rsid w:val="00DB27AC"/>
    <w:rsid w:val="00DB2B84"/>
    <w:rsid w:val="00DB377D"/>
    <w:rsid w:val="00DB40D7"/>
    <w:rsid w:val="00DC0969"/>
    <w:rsid w:val="00DC2D36"/>
    <w:rsid w:val="00DC53EF"/>
    <w:rsid w:val="00DD23E0"/>
    <w:rsid w:val="00DE1AFF"/>
    <w:rsid w:val="00DE5608"/>
    <w:rsid w:val="00DE58D0"/>
    <w:rsid w:val="00DE654F"/>
    <w:rsid w:val="00DE6F81"/>
    <w:rsid w:val="00DF0B6E"/>
    <w:rsid w:val="00DF0C42"/>
    <w:rsid w:val="00DF15E0"/>
    <w:rsid w:val="00DF2666"/>
    <w:rsid w:val="00DF3455"/>
    <w:rsid w:val="00DF37A0"/>
    <w:rsid w:val="00DF3B22"/>
    <w:rsid w:val="00DF6C44"/>
    <w:rsid w:val="00E0051B"/>
    <w:rsid w:val="00E021D8"/>
    <w:rsid w:val="00E042EB"/>
    <w:rsid w:val="00E10341"/>
    <w:rsid w:val="00E10AF3"/>
    <w:rsid w:val="00E110E7"/>
    <w:rsid w:val="00E11B20"/>
    <w:rsid w:val="00E17FA2"/>
    <w:rsid w:val="00E200AD"/>
    <w:rsid w:val="00E21733"/>
    <w:rsid w:val="00E22330"/>
    <w:rsid w:val="00E246EE"/>
    <w:rsid w:val="00E24F5B"/>
    <w:rsid w:val="00E30B5A"/>
    <w:rsid w:val="00E3123D"/>
    <w:rsid w:val="00E31461"/>
    <w:rsid w:val="00E31D43"/>
    <w:rsid w:val="00E32608"/>
    <w:rsid w:val="00E33FD5"/>
    <w:rsid w:val="00E34188"/>
    <w:rsid w:val="00E34B6E"/>
    <w:rsid w:val="00E35559"/>
    <w:rsid w:val="00E3723A"/>
    <w:rsid w:val="00E37860"/>
    <w:rsid w:val="00E42EAF"/>
    <w:rsid w:val="00E446F1"/>
    <w:rsid w:val="00E45F73"/>
    <w:rsid w:val="00E46886"/>
    <w:rsid w:val="00E472B7"/>
    <w:rsid w:val="00E47AEF"/>
    <w:rsid w:val="00E503D4"/>
    <w:rsid w:val="00E53B75"/>
    <w:rsid w:val="00E54E3B"/>
    <w:rsid w:val="00E55411"/>
    <w:rsid w:val="00E55FB1"/>
    <w:rsid w:val="00E57565"/>
    <w:rsid w:val="00E63838"/>
    <w:rsid w:val="00E64434"/>
    <w:rsid w:val="00E64EDE"/>
    <w:rsid w:val="00E655E4"/>
    <w:rsid w:val="00E67C51"/>
    <w:rsid w:val="00E72EFC"/>
    <w:rsid w:val="00E751B1"/>
    <w:rsid w:val="00E758EC"/>
    <w:rsid w:val="00E8168D"/>
    <w:rsid w:val="00E8234C"/>
    <w:rsid w:val="00E83AA9"/>
    <w:rsid w:val="00E83B66"/>
    <w:rsid w:val="00E83FA3"/>
    <w:rsid w:val="00E85928"/>
    <w:rsid w:val="00E8746F"/>
    <w:rsid w:val="00E87527"/>
    <w:rsid w:val="00E87822"/>
    <w:rsid w:val="00E879C3"/>
    <w:rsid w:val="00E90395"/>
    <w:rsid w:val="00E903E2"/>
    <w:rsid w:val="00E90988"/>
    <w:rsid w:val="00E90E49"/>
    <w:rsid w:val="00E917F9"/>
    <w:rsid w:val="00E9291C"/>
    <w:rsid w:val="00E93FFE"/>
    <w:rsid w:val="00E94F8A"/>
    <w:rsid w:val="00EA4EB5"/>
    <w:rsid w:val="00EA7A41"/>
    <w:rsid w:val="00EB077B"/>
    <w:rsid w:val="00EB14F1"/>
    <w:rsid w:val="00EB4EA2"/>
    <w:rsid w:val="00EB7EFB"/>
    <w:rsid w:val="00EC24D5"/>
    <w:rsid w:val="00EC27C6"/>
    <w:rsid w:val="00EC2B0E"/>
    <w:rsid w:val="00EC4207"/>
    <w:rsid w:val="00EC4728"/>
    <w:rsid w:val="00EC5653"/>
    <w:rsid w:val="00EC71CE"/>
    <w:rsid w:val="00EC71F5"/>
    <w:rsid w:val="00ED1006"/>
    <w:rsid w:val="00ED5706"/>
    <w:rsid w:val="00EF18FE"/>
    <w:rsid w:val="00EF233C"/>
    <w:rsid w:val="00EF5787"/>
    <w:rsid w:val="00EF60D0"/>
    <w:rsid w:val="00F02C84"/>
    <w:rsid w:val="00F0528D"/>
    <w:rsid w:val="00F06C67"/>
    <w:rsid w:val="00F06DFD"/>
    <w:rsid w:val="00F07119"/>
    <w:rsid w:val="00F071D1"/>
    <w:rsid w:val="00F07533"/>
    <w:rsid w:val="00F10629"/>
    <w:rsid w:val="00F1390F"/>
    <w:rsid w:val="00F15FA5"/>
    <w:rsid w:val="00F207D1"/>
    <w:rsid w:val="00F209B7"/>
    <w:rsid w:val="00F20D66"/>
    <w:rsid w:val="00F20F5C"/>
    <w:rsid w:val="00F2140C"/>
    <w:rsid w:val="00F2376F"/>
    <w:rsid w:val="00F243D8"/>
    <w:rsid w:val="00F2553F"/>
    <w:rsid w:val="00F3001F"/>
    <w:rsid w:val="00F30828"/>
    <w:rsid w:val="00F313D6"/>
    <w:rsid w:val="00F32BA3"/>
    <w:rsid w:val="00F37536"/>
    <w:rsid w:val="00F40F0C"/>
    <w:rsid w:val="00F4423B"/>
    <w:rsid w:val="00F4766C"/>
    <w:rsid w:val="00F5060E"/>
    <w:rsid w:val="00F507D1"/>
    <w:rsid w:val="00F519CE"/>
    <w:rsid w:val="00F51ADA"/>
    <w:rsid w:val="00F52904"/>
    <w:rsid w:val="00F54EFA"/>
    <w:rsid w:val="00F5509B"/>
    <w:rsid w:val="00F60203"/>
    <w:rsid w:val="00F607C5"/>
    <w:rsid w:val="00F60DEA"/>
    <w:rsid w:val="00F6302A"/>
    <w:rsid w:val="00F63950"/>
    <w:rsid w:val="00F644A9"/>
    <w:rsid w:val="00F64C2B"/>
    <w:rsid w:val="00F651BE"/>
    <w:rsid w:val="00F66D21"/>
    <w:rsid w:val="00F67F53"/>
    <w:rsid w:val="00F703BE"/>
    <w:rsid w:val="00F70BCA"/>
    <w:rsid w:val="00F71F69"/>
    <w:rsid w:val="00F72B72"/>
    <w:rsid w:val="00F74A07"/>
    <w:rsid w:val="00F74BB9"/>
    <w:rsid w:val="00F75582"/>
    <w:rsid w:val="00F76EFA"/>
    <w:rsid w:val="00F802A4"/>
    <w:rsid w:val="00F804BE"/>
    <w:rsid w:val="00F817CE"/>
    <w:rsid w:val="00F81CF8"/>
    <w:rsid w:val="00F8456C"/>
    <w:rsid w:val="00F852AC"/>
    <w:rsid w:val="00F859D8"/>
    <w:rsid w:val="00F868F5"/>
    <w:rsid w:val="00F9056A"/>
    <w:rsid w:val="00F90761"/>
    <w:rsid w:val="00F90F8D"/>
    <w:rsid w:val="00F92782"/>
    <w:rsid w:val="00F9358B"/>
    <w:rsid w:val="00F93AA9"/>
    <w:rsid w:val="00F957B6"/>
    <w:rsid w:val="00F959FC"/>
    <w:rsid w:val="00F96985"/>
    <w:rsid w:val="00F973AC"/>
    <w:rsid w:val="00F97838"/>
    <w:rsid w:val="00FA26F0"/>
    <w:rsid w:val="00FA2BB3"/>
    <w:rsid w:val="00FA6E1C"/>
    <w:rsid w:val="00FB262E"/>
    <w:rsid w:val="00FB2E96"/>
    <w:rsid w:val="00FB4890"/>
    <w:rsid w:val="00FB4C80"/>
    <w:rsid w:val="00FB61CF"/>
    <w:rsid w:val="00FB6A6A"/>
    <w:rsid w:val="00FB7C01"/>
    <w:rsid w:val="00FC0F54"/>
    <w:rsid w:val="00FC54BD"/>
    <w:rsid w:val="00FC60F5"/>
    <w:rsid w:val="00FC7429"/>
    <w:rsid w:val="00FD07F6"/>
    <w:rsid w:val="00FD0FC9"/>
    <w:rsid w:val="00FD1EC8"/>
    <w:rsid w:val="00FD47ED"/>
    <w:rsid w:val="00FD74DB"/>
    <w:rsid w:val="00FD7660"/>
    <w:rsid w:val="00FD7FC5"/>
    <w:rsid w:val="00FE0655"/>
    <w:rsid w:val="00FE2365"/>
    <w:rsid w:val="00FE37D7"/>
    <w:rsid w:val="00FE4C7B"/>
    <w:rsid w:val="00FE7336"/>
    <w:rsid w:val="00FE787C"/>
    <w:rsid w:val="00FF45A5"/>
    <w:rsid w:val="00FF4D48"/>
    <w:rsid w:val="00FF5247"/>
    <w:rsid w:val="00FF5C91"/>
    <w:rsid w:val="00FF603F"/>
    <w:rsid w:val="032C1854"/>
    <w:rsid w:val="2430C60D"/>
    <w:rsid w:val="24B37398"/>
    <w:rsid w:val="4F24C617"/>
    <w:rsid w:val="616BE38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E05F7E"/>
  <w15:chartTrackingRefBased/>
  <w15:docId w15:val="{668B2FE0-758A-4C79-8792-7C7D5123F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423B"/>
    <w:rPr>
      <w:rFonts w:ascii="Arial" w:eastAsia="SimSun" w:hAnsi="Arial"/>
      <w:sz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overflowPunct w:val="0"/>
      <w:autoSpaceDE w:val="0"/>
      <w:autoSpaceDN w:val="0"/>
      <w:adjustRightInd w:val="0"/>
      <w:spacing w:before="180" w:after="180"/>
      <w:jc w:val="center"/>
      <w:textAlignment w:val="baseline"/>
    </w:pPr>
    <w:rPr>
      <w:rFonts w:ascii="Times New Roman" w:eastAsia="Times New Roman" w:hAnsi="Times New Roman"/>
      <w:sz w:val="20"/>
      <w:lang w:val="en-GB" w:eastAsia="ja-JP"/>
    </w:rPr>
  </w:style>
  <w:style w:type="paragraph" w:styleId="Caption">
    <w:name w:val="caption"/>
    <w:basedOn w:val="Normal"/>
    <w:next w:val="Normal"/>
    <w:qFormat/>
    <w:rsid w:val="008D00A5"/>
    <w:pPr>
      <w:overflowPunct w:val="0"/>
      <w:autoSpaceDE w:val="0"/>
      <w:autoSpaceDN w:val="0"/>
      <w:adjustRightInd w:val="0"/>
      <w:spacing w:before="120" w:after="120"/>
      <w:textAlignment w:val="baseline"/>
    </w:pPr>
    <w:rPr>
      <w:rFonts w:ascii="Times New Roman" w:eastAsia="Times New Roman" w:hAnsi="Times New Roman"/>
      <w:b/>
      <w:sz w:val="20"/>
      <w:lang w:val="en-GB"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overflowPunct w:val="0"/>
      <w:autoSpaceDE w:val="0"/>
      <w:autoSpaceDN w:val="0"/>
      <w:adjustRightInd w:val="0"/>
      <w:textAlignment w:val="baseline"/>
    </w:pPr>
    <w:rPr>
      <w:rFonts w:ascii="Times New Roman" w:eastAsia="Times New Roman" w:hAnsi="Times New Roman"/>
      <w:sz w:val="20"/>
      <w:lang w:val="en-GB" w:eastAsia="ja-JP"/>
    </w:rPr>
  </w:style>
  <w:style w:type="paragraph" w:styleId="DocumentMap">
    <w:name w:val="Document Map"/>
    <w:basedOn w:val="Normal"/>
    <w:link w:val="DocumentMapChar"/>
    <w:rsid w:val="008D00A5"/>
    <w:pPr>
      <w:shd w:val="clear" w:color="auto" w:fill="000080"/>
      <w:overflowPunct w:val="0"/>
      <w:autoSpaceDE w:val="0"/>
      <w:autoSpaceDN w:val="0"/>
      <w:adjustRightInd w:val="0"/>
      <w:spacing w:after="180"/>
      <w:textAlignment w:val="baseline"/>
    </w:pPr>
    <w:rPr>
      <w:rFonts w:ascii="Tahoma" w:eastAsia="Times New Roman" w:hAnsi="Tahoma" w:cs="Tahoma"/>
      <w:sz w:val="20"/>
      <w:lang w:val="en-GB" w:eastAsia="ja-JP"/>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overflowPunct w:val="0"/>
      <w:autoSpaceDE w:val="0"/>
      <w:autoSpaceDN w:val="0"/>
      <w:adjustRightInd w:val="0"/>
      <w:ind w:left="454" w:hanging="454"/>
      <w:textAlignment w:val="baseline"/>
    </w:pPr>
    <w:rPr>
      <w:rFonts w:ascii="Times New Roman" w:eastAsia="Times New Roman" w:hAnsi="Times New Roman"/>
      <w:sz w:val="16"/>
      <w:lang w:val="en-GB" w:eastAsia="ja-JP"/>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noProof/>
      <w:sz w:val="20"/>
      <w:lang w:val="en-GB" w:eastAsia="ja-JP"/>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overflowPunct w:val="0"/>
      <w:autoSpaceDE w:val="0"/>
      <w:autoSpaceDN w:val="0"/>
      <w:adjustRightInd w:val="0"/>
      <w:textAlignment w:val="baseline"/>
    </w:pPr>
    <w:rPr>
      <w:rFonts w:ascii="Segoe UI" w:eastAsia="Times New Roman" w:hAnsi="Segoe UI" w:cs="Segoe UI"/>
      <w:sz w:val="18"/>
      <w:szCs w:val="18"/>
      <w:lang w:val="en-GB" w:eastAsia="ja-JP"/>
    </w:rPr>
  </w:style>
  <w:style w:type="character" w:styleId="PageNumber">
    <w:name w:val="page number"/>
    <w:basedOn w:val="DefaultParagraphFont"/>
    <w:rsid w:val="008D00A5"/>
  </w:style>
  <w:style w:type="paragraph" w:styleId="BodyText">
    <w:name w:val="Body Text"/>
    <w:basedOn w:val="Normal"/>
    <w:link w:val="BodyTextChar"/>
    <w:rsid w:val="008D00A5"/>
    <w:pPr>
      <w:overflowPunct w:val="0"/>
      <w:autoSpaceDE w:val="0"/>
      <w:autoSpaceDN w:val="0"/>
      <w:adjustRightInd w:val="0"/>
      <w:spacing w:after="120"/>
      <w:jc w:val="both"/>
      <w:textAlignment w:val="baseline"/>
    </w:pPr>
    <w:rPr>
      <w:rFonts w:eastAsia="Times New Roman"/>
      <w:sz w:val="20"/>
      <w:lang w:val="en-GB"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overflowPunct w:val="0"/>
      <w:autoSpaceDE w:val="0"/>
      <w:autoSpaceDN w:val="0"/>
      <w:adjustRightInd w:val="0"/>
      <w:spacing w:after="180"/>
      <w:textAlignment w:val="baseline"/>
    </w:pPr>
    <w:rPr>
      <w:rFonts w:ascii="Times New Roman" w:eastAsia="Times New Roman" w:hAnsi="Times New Roman"/>
      <w:sz w:val="20"/>
      <w:lang w:val="en-GB" w:eastAsia="ja-JP"/>
    </w:r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overflowPunct w:val="0"/>
      <w:autoSpaceDE w:val="0"/>
      <w:autoSpaceDN w:val="0"/>
      <w:adjustRightInd w:val="0"/>
      <w:spacing w:after="180"/>
      <w:ind w:left="1702" w:hanging="1418"/>
      <w:textAlignment w:val="baseline"/>
    </w:pPr>
    <w:rPr>
      <w:rFonts w:ascii="Times New Roman" w:eastAsia="Times New Roman" w:hAnsi="Times New Roman"/>
      <w:sz w:val="20"/>
      <w:lang w:val="en-GB" w:eastAsia="ja-JP"/>
    </w:r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overflowPunct w:val="0"/>
      <w:autoSpaceDE w:val="0"/>
      <w:autoSpaceDN w:val="0"/>
      <w:adjustRightInd w:val="0"/>
      <w:textAlignment w:val="baseline"/>
    </w:pPr>
    <w:rPr>
      <w:rFonts w:eastAsia="Times New Roman"/>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overflowPunct w:val="0"/>
      <w:autoSpaceDE w:val="0"/>
      <w:autoSpaceDN w:val="0"/>
      <w:adjustRightInd w:val="0"/>
      <w:spacing w:before="60" w:after="180"/>
      <w:jc w:val="center"/>
      <w:textAlignment w:val="baseline"/>
    </w:pPr>
    <w:rPr>
      <w:rFonts w:eastAsia="Times New Roman"/>
      <w:b/>
      <w:sz w:val="20"/>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overflowPunct w:val="0"/>
      <w:autoSpaceDE w:val="0"/>
      <w:autoSpaceDN w:val="0"/>
      <w:adjustRightInd w:val="0"/>
      <w:textAlignment w:val="baseline"/>
    </w:pPr>
    <w:rPr>
      <w:rFonts w:ascii="Times New Roman" w:eastAsia="Times New Roman" w:hAnsi="Times New Roman"/>
      <w:sz w:val="20"/>
      <w:lang w:val="en-GB" w:eastAsia="ja-JP"/>
    </w:r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overflowPunct w:val="0"/>
      <w:autoSpaceDE w:val="0"/>
      <w:autoSpaceDN w:val="0"/>
      <w:adjustRightInd w:val="0"/>
      <w:ind w:left="1622" w:hanging="363"/>
      <w:textAlignment w:val="baseline"/>
    </w:pPr>
    <w:rPr>
      <w:rFonts w:eastAsia="MS Mincho"/>
      <w:sz w:val="20"/>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overflowPunct w:val="0"/>
      <w:autoSpaceDE w:val="0"/>
      <w:autoSpaceDN w:val="0"/>
      <w:adjustRightInd w:val="0"/>
      <w:spacing w:after="180"/>
      <w:ind w:left="1135" w:hanging="851"/>
      <w:textAlignment w:val="baseline"/>
    </w:pPr>
    <w:rPr>
      <w:rFonts w:ascii="Times New Roman" w:eastAsia="Times New Roman" w:hAnsi="Times New Roman"/>
      <w:sz w:val="20"/>
      <w:lang w:val="en-GB" w:eastAsia="ja-JP"/>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overflowPunct w:val="0"/>
      <w:autoSpaceDE w:val="0"/>
      <w:autoSpaceDN w:val="0"/>
      <w:adjustRightInd w:val="0"/>
      <w:spacing w:before="40"/>
      <w:textAlignment w:val="baseline"/>
    </w:pPr>
    <w:rPr>
      <w:rFonts w:eastAsia="MS Mincho"/>
      <w:b/>
      <w:sz w:val="20"/>
      <w:szCs w:val="24"/>
      <w:lang w:val="en-GB"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imes New Roman" w:hAnsi="Times New Roman"/>
      <w:b/>
      <w:sz w:val="24"/>
      <w:lang w:val="en-GB"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overflowPunct w:val="0"/>
      <w:autoSpaceDE w:val="0"/>
      <w:autoSpaceDN w:val="0"/>
      <w:adjustRightInd w:val="0"/>
      <w:spacing w:after="180"/>
      <w:textAlignment w:val="baseline"/>
    </w:pPr>
    <w:rPr>
      <w:rFonts w:ascii="Times New Roman" w:eastAsia="Times New Roman" w:hAnsi="Times New Roman"/>
      <w:i/>
      <w:color w:val="0000FF"/>
      <w:sz w:val="20"/>
      <w:lang w:val="en-GB" w:eastAsia="ja-JP"/>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overflowPunct w:val="0"/>
      <w:autoSpaceDE w:val="0"/>
      <w:autoSpaceDN w:val="0"/>
      <w:adjustRightInd w:val="0"/>
      <w:spacing w:before="360" w:after="240"/>
      <w:textAlignment w:val="baseline"/>
    </w:pPr>
    <w:rPr>
      <w:rFonts w:ascii="Times New Roman" w:eastAsia="Times New Roman" w:hAnsi="Times New Roman"/>
      <w:b/>
      <w:i/>
      <w:sz w:val="26"/>
      <w:lang w:val="en-GB"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overflowPunct w:val="0"/>
      <w:autoSpaceDE w:val="0"/>
      <w:autoSpaceDN w:val="0"/>
      <w:adjustRightInd w:val="0"/>
      <w:ind w:left="720"/>
      <w:textAlignment w:val="baseline"/>
    </w:pPr>
    <w:rPr>
      <w:rFonts w:ascii="Calibri" w:eastAsia="Calibri" w:hAnsi="Calibri"/>
      <w:szCs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overflowPunct w:val="0"/>
      <w:autoSpaceDE w:val="0"/>
      <w:autoSpaceDN w:val="0"/>
      <w:adjustRightInd w:val="0"/>
      <w:spacing w:after="180"/>
      <w:textAlignment w:val="baseline"/>
    </w:pPr>
    <w:rPr>
      <w:rFonts w:ascii="Courier New" w:eastAsia="Times New Roman" w:hAnsi="Courier New"/>
      <w:sz w:val="20"/>
      <w:lang w:val="nb-NO" w:eastAsia="ja-JP"/>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overflowPunct w:val="0"/>
      <w:autoSpaceDE w:val="0"/>
      <w:autoSpaceDN w:val="0"/>
      <w:adjustRightInd w:val="0"/>
      <w:textAlignment w:val="baseline"/>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overflowPunct w:val="0"/>
      <w:autoSpaceDE w:val="0"/>
      <w:autoSpaceDN w:val="0"/>
      <w:adjustRightInd w:val="0"/>
      <w:spacing w:after="120"/>
      <w:ind w:left="283"/>
      <w:contextualSpacing/>
      <w:textAlignment w:val="baseline"/>
    </w:pPr>
    <w:rPr>
      <w:rFonts w:eastAsia="Times New Roman"/>
      <w:sz w:val="20"/>
      <w:lang w:val="en-GB" w:eastAsia="ja-JP"/>
    </w:rPr>
  </w:style>
  <w:style w:type="paragraph" w:styleId="ListContinue2">
    <w:name w:val="List Continue 2"/>
    <w:basedOn w:val="Normal"/>
    <w:rsid w:val="003A70A4"/>
    <w:pPr>
      <w:overflowPunct w:val="0"/>
      <w:autoSpaceDE w:val="0"/>
      <w:autoSpaceDN w:val="0"/>
      <w:adjustRightInd w:val="0"/>
      <w:spacing w:after="120"/>
      <w:ind w:left="566"/>
      <w:contextualSpacing/>
      <w:textAlignment w:val="baseline"/>
    </w:pPr>
    <w:rPr>
      <w:rFonts w:eastAsia="Times New Roman"/>
      <w:sz w:val="20"/>
      <w:lang w:val="en-GB" w:eastAsia="ja-JP"/>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normaltextrun">
    <w:name w:val="normaltextrun"/>
    <w:basedOn w:val="DefaultParagraphFont"/>
    <w:rsid w:val="00F90761"/>
  </w:style>
  <w:style w:type="character" w:customStyle="1" w:styleId="eop">
    <w:name w:val="eop"/>
    <w:basedOn w:val="DefaultParagraphFont"/>
    <w:rsid w:val="00F90761"/>
  </w:style>
  <w:style w:type="paragraph" w:customStyle="1" w:styleId="Source">
    <w:name w:val="Source"/>
    <w:basedOn w:val="Normal"/>
    <w:rsid w:val="00ED5706"/>
    <w:pPr>
      <w:spacing w:after="60"/>
      <w:ind w:left="1985" w:hanging="1985"/>
    </w:pPr>
    <w:rPr>
      <w:rFonts w:eastAsiaTheme="minorEastAsia" w:cs="Arial"/>
      <w:b/>
      <w:sz w:val="20"/>
      <w:lang w:val="en-GB"/>
    </w:rPr>
  </w:style>
  <w:style w:type="paragraph" w:customStyle="1" w:styleId="Agreement">
    <w:name w:val="Agreement"/>
    <w:basedOn w:val="Normal"/>
    <w:next w:val="Normal"/>
    <w:qFormat/>
    <w:rsid w:val="00ED5706"/>
    <w:pPr>
      <w:numPr>
        <w:numId w:val="25"/>
      </w:numPr>
      <w:spacing w:before="60"/>
    </w:pPr>
    <w:rPr>
      <w:rFonts w:eastAsia="MS Mincho"/>
      <w:b/>
      <w:sz w:val="20"/>
      <w:szCs w:val="24"/>
      <w:lang w:val="en-GB" w:eastAsia="en-GB"/>
    </w:rPr>
  </w:style>
  <w:style w:type="character" w:customStyle="1" w:styleId="IvDInstructiontextChar">
    <w:name w:val="IvD Instructiontext Char"/>
    <w:link w:val="IvDInstructiontext"/>
    <w:uiPriority w:val="99"/>
    <w:locked/>
    <w:rsid w:val="00F4423B"/>
    <w:rPr>
      <w:rFonts w:ascii="Arial" w:hAnsi="Arial" w:cs="Arial"/>
      <w:sz w:val="22"/>
    </w:rPr>
  </w:style>
  <w:style w:type="paragraph" w:customStyle="1" w:styleId="IvDInstructiontext">
    <w:name w:val="IvD Instructiontext"/>
    <w:basedOn w:val="BodyText"/>
    <w:link w:val="IvDInstructiontextChar"/>
    <w:uiPriority w:val="99"/>
    <w:qFormat/>
    <w:rsid w:val="00F4423B"/>
    <w:pPr>
      <w:overflowPunct/>
      <w:autoSpaceDE/>
      <w:autoSpaceDN/>
      <w:adjustRightInd/>
      <w:jc w:val="left"/>
      <w:textAlignment w:val="auto"/>
    </w:pPr>
    <w:rPr>
      <w:rFonts w:cs="Arial"/>
      <w:sz w:val="22"/>
      <w:lang w:eastAsia="en-GB"/>
    </w:rPr>
  </w:style>
  <w:style w:type="character" w:customStyle="1" w:styleId="IvDbodytextChar">
    <w:name w:val="IvD bodytext Char"/>
    <w:basedOn w:val="DefaultParagraphFont"/>
    <w:link w:val="IvDbodytext"/>
    <w:locked/>
    <w:rsid w:val="00F4423B"/>
    <w:rPr>
      <w:rFonts w:ascii="Arial" w:hAnsi="Arial" w:cs="Arial"/>
      <w:spacing w:val="2"/>
    </w:rPr>
  </w:style>
  <w:style w:type="paragraph" w:customStyle="1" w:styleId="IvDbodytext">
    <w:name w:val="IvD bodytext"/>
    <w:basedOn w:val="BodyText"/>
    <w:link w:val="IvDbodytextChar"/>
    <w:qFormat/>
    <w:rsid w:val="00F4423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character" w:styleId="Mention">
    <w:name w:val="Mention"/>
    <w:basedOn w:val="DefaultParagraphFont"/>
    <w:uiPriority w:val="99"/>
    <w:unhideWhenUsed/>
    <w:rsid w:val="00BE411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295465">
      <w:bodyDiv w:val="1"/>
      <w:marLeft w:val="0"/>
      <w:marRight w:val="0"/>
      <w:marTop w:val="0"/>
      <w:marBottom w:val="0"/>
      <w:divBdr>
        <w:top w:val="none" w:sz="0" w:space="0" w:color="auto"/>
        <w:left w:val="none" w:sz="0" w:space="0" w:color="auto"/>
        <w:bottom w:val="none" w:sz="0" w:space="0" w:color="auto"/>
        <w:right w:val="none" w:sz="0" w:space="0" w:color="auto"/>
      </w:divBdr>
    </w:div>
    <w:div w:id="294796577">
      <w:bodyDiv w:val="1"/>
      <w:marLeft w:val="0"/>
      <w:marRight w:val="0"/>
      <w:marTop w:val="0"/>
      <w:marBottom w:val="0"/>
      <w:divBdr>
        <w:top w:val="none" w:sz="0" w:space="0" w:color="auto"/>
        <w:left w:val="none" w:sz="0" w:space="0" w:color="auto"/>
        <w:bottom w:val="none" w:sz="0" w:space="0" w:color="auto"/>
        <w:right w:val="none" w:sz="0" w:space="0" w:color="auto"/>
      </w:divBdr>
    </w:div>
    <w:div w:id="487674302">
      <w:bodyDiv w:val="1"/>
      <w:marLeft w:val="0"/>
      <w:marRight w:val="0"/>
      <w:marTop w:val="0"/>
      <w:marBottom w:val="0"/>
      <w:divBdr>
        <w:top w:val="none" w:sz="0" w:space="0" w:color="auto"/>
        <w:left w:val="none" w:sz="0" w:space="0" w:color="auto"/>
        <w:bottom w:val="none" w:sz="0" w:space="0" w:color="auto"/>
        <w:right w:val="none" w:sz="0" w:space="0" w:color="auto"/>
      </w:divBdr>
    </w:div>
    <w:div w:id="636686911">
      <w:bodyDiv w:val="1"/>
      <w:marLeft w:val="0"/>
      <w:marRight w:val="0"/>
      <w:marTop w:val="0"/>
      <w:marBottom w:val="0"/>
      <w:divBdr>
        <w:top w:val="none" w:sz="0" w:space="0" w:color="auto"/>
        <w:left w:val="none" w:sz="0" w:space="0" w:color="auto"/>
        <w:bottom w:val="none" w:sz="0" w:space="0" w:color="auto"/>
        <w:right w:val="none" w:sz="0" w:space="0" w:color="auto"/>
      </w:divBdr>
    </w:div>
    <w:div w:id="1017074936">
      <w:bodyDiv w:val="1"/>
      <w:marLeft w:val="0"/>
      <w:marRight w:val="0"/>
      <w:marTop w:val="0"/>
      <w:marBottom w:val="0"/>
      <w:divBdr>
        <w:top w:val="none" w:sz="0" w:space="0" w:color="auto"/>
        <w:left w:val="none" w:sz="0" w:space="0" w:color="auto"/>
        <w:bottom w:val="none" w:sz="0" w:space="0" w:color="auto"/>
        <w:right w:val="none" w:sz="0" w:space="0" w:color="auto"/>
      </w:divBdr>
    </w:div>
    <w:div w:id="1239435708">
      <w:bodyDiv w:val="1"/>
      <w:marLeft w:val="0"/>
      <w:marRight w:val="0"/>
      <w:marTop w:val="0"/>
      <w:marBottom w:val="0"/>
      <w:divBdr>
        <w:top w:val="none" w:sz="0" w:space="0" w:color="auto"/>
        <w:left w:val="none" w:sz="0" w:space="0" w:color="auto"/>
        <w:bottom w:val="none" w:sz="0" w:space="0" w:color="auto"/>
        <w:right w:val="none" w:sz="0" w:space="0" w:color="auto"/>
      </w:divBdr>
    </w:div>
    <w:div w:id="1382827503">
      <w:bodyDiv w:val="1"/>
      <w:marLeft w:val="0"/>
      <w:marRight w:val="0"/>
      <w:marTop w:val="0"/>
      <w:marBottom w:val="0"/>
      <w:divBdr>
        <w:top w:val="none" w:sz="0" w:space="0" w:color="auto"/>
        <w:left w:val="none" w:sz="0" w:space="0" w:color="auto"/>
        <w:bottom w:val="none" w:sz="0" w:space="0" w:color="auto"/>
        <w:right w:val="none" w:sz="0" w:space="0" w:color="auto"/>
      </w:divBdr>
    </w:div>
    <w:div w:id="1460731985">
      <w:bodyDiv w:val="1"/>
      <w:marLeft w:val="0"/>
      <w:marRight w:val="0"/>
      <w:marTop w:val="0"/>
      <w:marBottom w:val="0"/>
      <w:divBdr>
        <w:top w:val="none" w:sz="0" w:space="0" w:color="auto"/>
        <w:left w:val="none" w:sz="0" w:space="0" w:color="auto"/>
        <w:bottom w:val="none" w:sz="0" w:space="0" w:color="auto"/>
        <w:right w:val="none" w:sz="0" w:space="0" w:color="auto"/>
      </w:divBdr>
      <w:divsChild>
        <w:div w:id="1575699643">
          <w:marLeft w:val="360"/>
          <w:marRight w:val="0"/>
          <w:marTop w:val="200"/>
          <w:marBottom w:val="0"/>
          <w:divBdr>
            <w:top w:val="none" w:sz="0" w:space="0" w:color="auto"/>
            <w:left w:val="none" w:sz="0" w:space="0" w:color="auto"/>
            <w:bottom w:val="none" w:sz="0" w:space="0" w:color="auto"/>
            <w:right w:val="none" w:sz="0" w:space="0" w:color="auto"/>
          </w:divBdr>
        </w:div>
      </w:divsChild>
    </w:div>
    <w:div w:id="1511337506">
      <w:bodyDiv w:val="1"/>
      <w:marLeft w:val="0"/>
      <w:marRight w:val="0"/>
      <w:marTop w:val="0"/>
      <w:marBottom w:val="0"/>
      <w:divBdr>
        <w:top w:val="none" w:sz="0" w:space="0" w:color="auto"/>
        <w:left w:val="none" w:sz="0" w:space="0" w:color="auto"/>
        <w:bottom w:val="none" w:sz="0" w:space="0" w:color="auto"/>
        <w:right w:val="none" w:sz="0" w:space="0" w:color="auto"/>
      </w:divBdr>
    </w:div>
    <w:div w:id="2026592265">
      <w:bodyDiv w:val="1"/>
      <w:marLeft w:val="0"/>
      <w:marRight w:val="0"/>
      <w:marTop w:val="0"/>
      <w:marBottom w:val="0"/>
      <w:divBdr>
        <w:top w:val="none" w:sz="0" w:space="0" w:color="auto"/>
        <w:left w:val="none" w:sz="0" w:space="0" w:color="auto"/>
        <w:bottom w:val="none" w:sz="0" w:space="0" w:color="auto"/>
        <w:right w:val="none" w:sz="0" w:space="0" w:color="auto"/>
      </w:divBdr>
    </w:div>
    <w:div w:id="207843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2AACA167-D8D4-483C-851D-18FCF6CC2646}">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3C7F85F4-070F-486C-8BE7-FF454F1FF8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Pages>
  <Words>3371</Words>
  <Characters>19215</Characters>
  <Application>Microsoft Office Word</Application>
  <DocSecurity>4</DocSecurity>
  <Lines>160</Lines>
  <Paragraphs>45</Paragraphs>
  <ScaleCrop>false</ScaleCrop>
  <Company>Ericsson</Company>
  <LinksUpToDate>false</LinksUpToDate>
  <CharactersWithSpaces>22541</CharactersWithSpaces>
  <SharedDoc>false</SharedDoc>
  <HLinks>
    <vt:vector size="168" baseType="variant">
      <vt:variant>
        <vt:i4>1507387</vt:i4>
      </vt:variant>
      <vt:variant>
        <vt:i4>98</vt:i4>
      </vt:variant>
      <vt:variant>
        <vt:i4>0</vt:i4>
      </vt:variant>
      <vt:variant>
        <vt:i4>5</vt:i4>
      </vt:variant>
      <vt:variant>
        <vt:lpwstr/>
      </vt:variant>
      <vt:variant>
        <vt:lpwstr>_Toc118446631</vt:lpwstr>
      </vt:variant>
      <vt:variant>
        <vt:i4>1507387</vt:i4>
      </vt:variant>
      <vt:variant>
        <vt:i4>95</vt:i4>
      </vt:variant>
      <vt:variant>
        <vt:i4>0</vt:i4>
      </vt:variant>
      <vt:variant>
        <vt:i4>5</vt:i4>
      </vt:variant>
      <vt:variant>
        <vt:lpwstr/>
      </vt:variant>
      <vt:variant>
        <vt:lpwstr>_Toc118446630</vt:lpwstr>
      </vt:variant>
      <vt:variant>
        <vt:i4>1441851</vt:i4>
      </vt:variant>
      <vt:variant>
        <vt:i4>92</vt:i4>
      </vt:variant>
      <vt:variant>
        <vt:i4>0</vt:i4>
      </vt:variant>
      <vt:variant>
        <vt:i4>5</vt:i4>
      </vt:variant>
      <vt:variant>
        <vt:lpwstr/>
      </vt:variant>
      <vt:variant>
        <vt:lpwstr>_Toc118446629</vt:lpwstr>
      </vt:variant>
      <vt:variant>
        <vt:i4>1441851</vt:i4>
      </vt:variant>
      <vt:variant>
        <vt:i4>89</vt:i4>
      </vt:variant>
      <vt:variant>
        <vt:i4>0</vt:i4>
      </vt:variant>
      <vt:variant>
        <vt:i4>5</vt:i4>
      </vt:variant>
      <vt:variant>
        <vt:lpwstr/>
      </vt:variant>
      <vt:variant>
        <vt:lpwstr>_Toc118446628</vt:lpwstr>
      </vt:variant>
      <vt:variant>
        <vt:i4>1441851</vt:i4>
      </vt:variant>
      <vt:variant>
        <vt:i4>86</vt:i4>
      </vt:variant>
      <vt:variant>
        <vt:i4>0</vt:i4>
      </vt:variant>
      <vt:variant>
        <vt:i4>5</vt:i4>
      </vt:variant>
      <vt:variant>
        <vt:lpwstr/>
      </vt:variant>
      <vt:variant>
        <vt:lpwstr>_Toc118446627</vt:lpwstr>
      </vt:variant>
      <vt:variant>
        <vt:i4>1441851</vt:i4>
      </vt:variant>
      <vt:variant>
        <vt:i4>83</vt:i4>
      </vt:variant>
      <vt:variant>
        <vt:i4>0</vt:i4>
      </vt:variant>
      <vt:variant>
        <vt:i4>5</vt:i4>
      </vt:variant>
      <vt:variant>
        <vt:lpwstr/>
      </vt:variant>
      <vt:variant>
        <vt:lpwstr>_Toc118446626</vt:lpwstr>
      </vt:variant>
      <vt:variant>
        <vt:i4>1441851</vt:i4>
      </vt:variant>
      <vt:variant>
        <vt:i4>80</vt:i4>
      </vt:variant>
      <vt:variant>
        <vt:i4>0</vt:i4>
      </vt:variant>
      <vt:variant>
        <vt:i4>5</vt:i4>
      </vt:variant>
      <vt:variant>
        <vt:lpwstr/>
      </vt:variant>
      <vt:variant>
        <vt:lpwstr>_Toc118446625</vt:lpwstr>
      </vt:variant>
      <vt:variant>
        <vt:i4>1441851</vt:i4>
      </vt:variant>
      <vt:variant>
        <vt:i4>77</vt:i4>
      </vt:variant>
      <vt:variant>
        <vt:i4>0</vt:i4>
      </vt:variant>
      <vt:variant>
        <vt:i4>5</vt:i4>
      </vt:variant>
      <vt:variant>
        <vt:lpwstr/>
      </vt:variant>
      <vt:variant>
        <vt:lpwstr>_Toc118446624</vt:lpwstr>
      </vt:variant>
      <vt:variant>
        <vt:i4>1441851</vt:i4>
      </vt:variant>
      <vt:variant>
        <vt:i4>74</vt:i4>
      </vt:variant>
      <vt:variant>
        <vt:i4>0</vt:i4>
      </vt:variant>
      <vt:variant>
        <vt:i4>5</vt:i4>
      </vt:variant>
      <vt:variant>
        <vt:lpwstr/>
      </vt:variant>
      <vt:variant>
        <vt:lpwstr>_Toc118446623</vt:lpwstr>
      </vt:variant>
      <vt:variant>
        <vt:i4>1441851</vt:i4>
      </vt:variant>
      <vt:variant>
        <vt:i4>71</vt:i4>
      </vt:variant>
      <vt:variant>
        <vt:i4>0</vt:i4>
      </vt:variant>
      <vt:variant>
        <vt:i4>5</vt:i4>
      </vt:variant>
      <vt:variant>
        <vt:lpwstr/>
      </vt:variant>
      <vt:variant>
        <vt:lpwstr>_Toc118446622</vt:lpwstr>
      </vt:variant>
      <vt:variant>
        <vt:i4>1441851</vt:i4>
      </vt:variant>
      <vt:variant>
        <vt:i4>68</vt:i4>
      </vt:variant>
      <vt:variant>
        <vt:i4>0</vt:i4>
      </vt:variant>
      <vt:variant>
        <vt:i4>5</vt:i4>
      </vt:variant>
      <vt:variant>
        <vt:lpwstr/>
      </vt:variant>
      <vt:variant>
        <vt:lpwstr>_Toc118446621</vt:lpwstr>
      </vt:variant>
      <vt:variant>
        <vt:i4>1441851</vt:i4>
      </vt:variant>
      <vt:variant>
        <vt:i4>65</vt:i4>
      </vt:variant>
      <vt:variant>
        <vt:i4>0</vt:i4>
      </vt:variant>
      <vt:variant>
        <vt:i4>5</vt:i4>
      </vt:variant>
      <vt:variant>
        <vt:lpwstr/>
      </vt:variant>
      <vt:variant>
        <vt:lpwstr>_Toc118446620</vt:lpwstr>
      </vt:variant>
      <vt:variant>
        <vt:i4>1376315</vt:i4>
      </vt:variant>
      <vt:variant>
        <vt:i4>62</vt:i4>
      </vt:variant>
      <vt:variant>
        <vt:i4>0</vt:i4>
      </vt:variant>
      <vt:variant>
        <vt:i4>5</vt:i4>
      </vt:variant>
      <vt:variant>
        <vt:lpwstr/>
      </vt:variant>
      <vt:variant>
        <vt:lpwstr>_Toc118446619</vt:lpwstr>
      </vt:variant>
      <vt:variant>
        <vt:i4>1376315</vt:i4>
      </vt:variant>
      <vt:variant>
        <vt:i4>59</vt:i4>
      </vt:variant>
      <vt:variant>
        <vt:i4>0</vt:i4>
      </vt:variant>
      <vt:variant>
        <vt:i4>5</vt:i4>
      </vt:variant>
      <vt:variant>
        <vt:lpwstr/>
      </vt:variant>
      <vt:variant>
        <vt:lpwstr>_Toc118446618</vt:lpwstr>
      </vt:variant>
      <vt:variant>
        <vt:i4>1048635</vt:i4>
      </vt:variant>
      <vt:variant>
        <vt:i4>53</vt:i4>
      </vt:variant>
      <vt:variant>
        <vt:i4>0</vt:i4>
      </vt:variant>
      <vt:variant>
        <vt:i4>5</vt:i4>
      </vt:variant>
      <vt:variant>
        <vt:lpwstr/>
      </vt:variant>
      <vt:variant>
        <vt:lpwstr>_Toc118446645</vt:lpwstr>
      </vt:variant>
      <vt:variant>
        <vt:i4>1048635</vt:i4>
      </vt:variant>
      <vt:variant>
        <vt:i4>50</vt:i4>
      </vt:variant>
      <vt:variant>
        <vt:i4>0</vt:i4>
      </vt:variant>
      <vt:variant>
        <vt:i4>5</vt:i4>
      </vt:variant>
      <vt:variant>
        <vt:lpwstr/>
      </vt:variant>
      <vt:variant>
        <vt:lpwstr>_Toc118446644</vt:lpwstr>
      </vt:variant>
      <vt:variant>
        <vt:i4>1048635</vt:i4>
      </vt:variant>
      <vt:variant>
        <vt:i4>47</vt:i4>
      </vt:variant>
      <vt:variant>
        <vt:i4>0</vt:i4>
      </vt:variant>
      <vt:variant>
        <vt:i4>5</vt:i4>
      </vt:variant>
      <vt:variant>
        <vt:lpwstr/>
      </vt:variant>
      <vt:variant>
        <vt:lpwstr>_Toc118446643</vt:lpwstr>
      </vt:variant>
      <vt:variant>
        <vt:i4>1048635</vt:i4>
      </vt:variant>
      <vt:variant>
        <vt:i4>44</vt:i4>
      </vt:variant>
      <vt:variant>
        <vt:i4>0</vt:i4>
      </vt:variant>
      <vt:variant>
        <vt:i4>5</vt:i4>
      </vt:variant>
      <vt:variant>
        <vt:lpwstr/>
      </vt:variant>
      <vt:variant>
        <vt:lpwstr>_Toc118446642</vt:lpwstr>
      </vt:variant>
      <vt:variant>
        <vt:i4>1048635</vt:i4>
      </vt:variant>
      <vt:variant>
        <vt:i4>41</vt:i4>
      </vt:variant>
      <vt:variant>
        <vt:i4>0</vt:i4>
      </vt:variant>
      <vt:variant>
        <vt:i4>5</vt:i4>
      </vt:variant>
      <vt:variant>
        <vt:lpwstr/>
      </vt:variant>
      <vt:variant>
        <vt:lpwstr>_Toc118446641</vt:lpwstr>
      </vt:variant>
      <vt:variant>
        <vt:i4>1048635</vt:i4>
      </vt:variant>
      <vt:variant>
        <vt:i4>38</vt:i4>
      </vt:variant>
      <vt:variant>
        <vt:i4>0</vt:i4>
      </vt:variant>
      <vt:variant>
        <vt:i4>5</vt:i4>
      </vt:variant>
      <vt:variant>
        <vt:lpwstr/>
      </vt:variant>
      <vt:variant>
        <vt:lpwstr>_Toc118446640</vt:lpwstr>
      </vt:variant>
      <vt:variant>
        <vt:i4>1507387</vt:i4>
      </vt:variant>
      <vt:variant>
        <vt:i4>35</vt:i4>
      </vt:variant>
      <vt:variant>
        <vt:i4>0</vt:i4>
      </vt:variant>
      <vt:variant>
        <vt:i4>5</vt:i4>
      </vt:variant>
      <vt:variant>
        <vt:lpwstr/>
      </vt:variant>
      <vt:variant>
        <vt:lpwstr>_Toc118446639</vt:lpwstr>
      </vt:variant>
      <vt:variant>
        <vt:i4>1507387</vt:i4>
      </vt:variant>
      <vt:variant>
        <vt:i4>32</vt:i4>
      </vt:variant>
      <vt:variant>
        <vt:i4>0</vt:i4>
      </vt:variant>
      <vt:variant>
        <vt:i4>5</vt:i4>
      </vt:variant>
      <vt:variant>
        <vt:lpwstr/>
      </vt:variant>
      <vt:variant>
        <vt:lpwstr>_Toc118446638</vt:lpwstr>
      </vt:variant>
      <vt:variant>
        <vt:i4>1507387</vt:i4>
      </vt:variant>
      <vt:variant>
        <vt:i4>29</vt:i4>
      </vt:variant>
      <vt:variant>
        <vt:i4>0</vt:i4>
      </vt:variant>
      <vt:variant>
        <vt:i4>5</vt:i4>
      </vt:variant>
      <vt:variant>
        <vt:lpwstr/>
      </vt:variant>
      <vt:variant>
        <vt:lpwstr>_Toc118446637</vt:lpwstr>
      </vt:variant>
      <vt:variant>
        <vt:i4>1507387</vt:i4>
      </vt:variant>
      <vt:variant>
        <vt:i4>26</vt:i4>
      </vt:variant>
      <vt:variant>
        <vt:i4>0</vt:i4>
      </vt:variant>
      <vt:variant>
        <vt:i4>5</vt:i4>
      </vt:variant>
      <vt:variant>
        <vt:lpwstr/>
      </vt:variant>
      <vt:variant>
        <vt:lpwstr>_Toc118446636</vt:lpwstr>
      </vt:variant>
      <vt:variant>
        <vt:i4>1507387</vt:i4>
      </vt:variant>
      <vt:variant>
        <vt:i4>23</vt:i4>
      </vt:variant>
      <vt:variant>
        <vt:i4>0</vt:i4>
      </vt:variant>
      <vt:variant>
        <vt:i4>5</vt:i4>
      </vt:variant>
      <vt:variant>
        <vt:lpwstr/>
      </vt:variant>
      <vt:variant>
        <vt:lpwstr>_Toc118446635</vt:lpwstr>
      </vt:variant>
      <vt:variant>
        <vt:i4>1507387</vt:i4>
      </vt:variant>
      <vt:variant>
        <vt:i4>20</vt:i4>
      </vt:variant>
      <vt:variant>
        <vt:i4>0</vt:i4>
      </vt:variant>
      <vt:variant>
        <vt:i4>5</vt:i4>
      </vt:variant>
      <vt:variant>
        <vt:lpwstr/>
      </vt:variant>
      <vt:variant>
        <vt:lpwstr>_Toc118446634</vt:lpwstr>
      </vt:variant>
      <vt:variant>
        <vt:i4>1507387</vt:i4>
      </vt:variant>
      <vt:variant>
        <vt:i4>17</vt:i4>
      </vt:variant>
      <vt:variant>
        <vt:i4>0</vt:i4>
      </vt:variant>
      <vt:variant>
        <vt:i4>5</vt:i4>
      </vt:variant>
      <vt:variant>
        <vt:lpwstr/>
      </vt:variant>
      <vt:variant>
        <vt:lpwstr>_Toc118446633</vt:lpwstr>
      </vt:variant>
      <vt:variant>
        <vt:i4>1507387</vt:i4>
      </vt:variant>
      <vt:variant>
        <vt:i4>14</vt:i4>
      </vt:variant>
      <vt:variant>
        <vt:i4>0</vt:i4>
      </vt:variant>
      <vt:variant>
        <vt:i4>5</vt:i4>
      </vt:variant>
      <vt:variant>
        <vt:lpwstr/>
      </vt:variant>
      <vt:variant>
        <vt:lpwstr>_Toc118446632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42</cp:revision>
  <cp:lastPrinted>2008-02-01T19:09:00Z</cp:lastPrinted>
  <dcterms:created xsi:type="dcterms:W3CDTF">2022-11-04T06:22:00Z</dcterms:created>
  <dcterms:modified xsi:type="dcterms:W3CDTF">2022-11-04T16:30:00Z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